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eastAsia="华文中宋"/>
          <w:b/>
          <w:bCs/>
          <w:sz w:val="24"/>
        </w:rPr>
      </w:pPr>
      <w:bookmarkStart w:id="0" w:name="_GoBack"/>
      <w:bookmarkEnd w:id="0"/>
    </w:p>
    <w:p>
      <w:pPr>
        <w:spacing w:line="360" w:lineRule="exact"/>
        <w:rPr>
          <w:rFonts w:hint="eastAsia" w:eastAsia="华文中宋"/>
          <w:b/>
          <w:bCs/>
          <w:sz w:val="24"/>
        </w:rPr>
      </w:pPr>
      <w:r>
        <w:rPr>
          <w:rFonts w:hint="eastAsia" w:ascii="方正小标宋简体" w:hAnsi="华文中宋" w:eastAsia="方正小标宋简体"/>
          <w:color w:val="FF0000"/>
          <w:spacing w:val="-20"/>
          <w:sz w:val="11"/>
          <w:szCs w:val="11"/>
        </w:rPr>
        <w:pict>
          <v:shape id="_x0000_s1026" o:spid="_x0000_s1026" o:spt="136" type="#_x0000_t136" style="position:absolute;left:0pt;margin-left:17.3pt;margin-top:0.05pt;height:54.35pt;width:375pt;z-index:251658240;mso-width-relative:page;mso-height-relative:page;" fillcolor="#FF0000" filled="t" stroked="t" coordsize="21600,21600">
            <v:path/>
            <v:fill on="t" focussize="0,0"/>
            <v:stroke color="#FF0000"/>
            <v:imagedata o:title=""/>
            <o:lock v:ext="edit"/>
            <v:textpath on="t" fitshape="t" fitpath="t" trim="t" xscale="f" string="广东省科学技术协会文件" style="font-family:方正小标宋简体;font-size:18pt;v-rotate-letters:f;v-same-letter-heights:f;v-text-align:center;"/>
          </v:shape>
        </w:pict>
      </w:r>
    </w:p>
    <w:p>
      <w:pPr>
        <w:spacing w:line="360" w:lineRule="exact"/>
        <w:rPr>
          <w:rFonts w:hint="eastAsia" w:eastAsia="华文中宋"/>
          <w:b/>
          <w:bCs/>
          <w:sz w:val="24"/>
        </w:rPr>
      </w:pPr>
    </w:p>
    <w:p>
      <w:pPr>
        <w:spacing w:line="360" w:lineRule="exact"/>
        <w:rPr>
          <w:rFonts w:hint="eastAsia" w:eastAsia="华文中宋"/>
          <w:b/>
          <w:bCs/>
          <w:sz w:val="24"/>
        </w:rPr>
      </w:pPr>
    </w:p>
    <w:p>
      <w:pPr>
        <w:spacing w:line="360" w:lineRule="exact"/>
        <w:rPr>
          <w:rFonts w:hint="eastAsia" w:eastAsia="华文中宋"/>
          <w:b/>
          <w:bCs/>
          <w:sz w:val="24"/>
        </w:rPr>
      </w:pPr>
    </w:p>
    <w:p>
      <w:pPr>
        <w:spacing w:line="400" w:lineRule="exact"/>
        <w:rPr>
          <w:rFonts w:hint="eastAsia" w:eastAsia="华文中宋"/>
          <w:b/>
          <w:bCs/>
          <w:sz w:val="24"/>
        </w:rPr>
      </w:pPr>
    </w:p>
    <w:p>
      <w:pPr>
        <w:spacing w:line="200" w:lineRule="exact"/>
        <w:rPr>
          <w:rFonts w:hint="eastAsia" w:eastAsia="华文中宋"/>
          <w:b/>
          <w:bCs/>
          <w:sz w:val="24"/>
        </w:rPr>
      </w:pPr>
    </w:p>
    <w:p>
      <w:pPr>
        <w:spacing w:line="160" w:lineRule="exact"/>
        <w:rPr>
          <w:rFonts w:hint="eastAsia" w:eastAsia="华文中宋"/>
          <w:b/>
          <w:bCs/>
          <w:sz w:val="24"/>
        </w:rPr>
      </w:pPr>
    </w:p>
    <w:p>
      <w:pPr>
        <w:spacing w:line="400" w:lineRule="exact"/>
        <w:jc w:val="center"/>
        <w:rPr>
          <w:rFonts w:ascii="仿宋_GB2312" w:eastAsia="仿宋_GB2312"/>
          <w:bCs/>
          <w:sz w:val="32"/>
          <w:szCs w:val="32"/>
        </w:rPr>
      </w:pPr>
      <w:r>
        <w:rPr>
          <w:rFonts w:hint="eastAsia" w:ascii="仿宋" w:hAnsi="仿宋" w:eastAsia="仿宋"/>
          <w:bCs/>
          <w:sz w:val="32"/>
          <w:szCs w:val="32"/>
        </w:rPr>
        <w:t>粤科协</w:t>
      </w:r>
      <w:r>
        <w:rPr>
          <w:rFonts w:hint="eastAsia" w:ascii="仿宋_GB2312" w:eastAsia="仿宋_GB2312"/>
          <w:bCs/>
          <w:sz w:val="32"/>
          <w:szCs w:val="32"/>
        </w:rPr>
        <w:t>〔</w:t>
      </w:r>
      <w:r>
        <w:rPr>
          <w:rFonts w:hint="eastAsia" w:ascii="仿宋" w:hAnsi="仿宋" w:eastAsia="仿宋"/>
          <w:bCs/>
          <w:sz w:val="32"/>
          <w:szCs w:val="32"/>
        </w:rPr>
        <w:t>2022</w:t>
      </w:r>
      <w:r>
        <w:rPr>
          <w:rFonts w:hint="eastAsia" w:ascii="仿宋_GB2312" w:eastAsia="仿宋_GB2312"/>
          <w:bCs/>
          <w:sz w:val="32"/>
          <w:szCs w:val="32"/>
        </w:rPr>
        <w:t>〕</w:t>
      </w:r>
      <w:r>
        <w:rPr>
          <w:rFonts w:hint="eastAsia" w:ascii="仿宋" w:hAnsi="仿宋" w:eastAsia="仿宋" w:cs="仿宋"/>
          <w:bCs/>
          <w:sz w:val="32"/>
          <w:szCs w:val="32"/>
          <w:lang w:val="en-US" w:eastAsia="zh-CN"/>
        </w:rPr>
        <w:t>30</w:t>
      </w:r>
      <w:r>
        <w:rPr>
          <w:rFonts w:hint="eastAsia" w:ascii="仿宋" w:hAnsi="仿宋" w:eastAsia="仿宋" w:cs="仿宋"/>
          <w:bCs/>
          <w:sz w:val="32"/>
          <w:szCs w:val="32"/>
        </w:rPr>
        <w:t xml:space="preserve">号 </w:t>
      </w:r>
    </w:p>
    <w:p>
      <w:pPr>
        <w:spacing w:line="300" w:lineRule="exact"/>
        <w:jc w:val="center"/>
        <w:rPr>
          <w:rFonts w:hint="eastAsia" w:ascii="楷体_GB2312" w:hAnsi="仿宋" w:eastAsia="楷体_GB2312"/>
          <w:bCs/>
          <w:sz w:val="32"/>
          <w:szCs w:val="32"/>
        </w:rPr>
      </w:pPr>
    </w:p>
    <w:tbl>
      <w:tblPr>
        <w:tblStyle w:val="4"/>
        <w:tblW w:w="0" w:type="auto"/>
        <w:tblInd w:w="108" w:type="dxa"/>
        <w:tblBorders>
          <w:top w:val="single" w:color="FF0000" w:sz="24" w:space="0"/>
          <w:left w:val="single" w:color="FFFFFF" w:sz="4" w:space="0"/>
          <w:bottom w:val="single" w:color="FFFFFF" w:sz="4" w:space="0"/>
          <w:right w:val="single" w:color="FFFFFF" w:sz="4" w:space="0"/>
          <w:insideH w:val="none" w:color="auto" w:sz="0" w:space="0"/>
          <w:insideV w:val="none" w:color="auto" w:sz="0" w:space="0"/>
        </w:tblBorders>
        <w:tblLayout w:type="autofit"/>
        <w:tblCellMar>
          <w:top w:w="0" w:type="dxa"/>
          <w:left w:w="108" w:type="dxa"/>
          <w:bottom w:w="0" w:type="dxa"/>
          <w:right w:w="108" w:type="dxa"/>
        </w:tblCellMar>
      </w:tblPr>
      <w:tblGrid>
        <w:gridCol w:w="8222"/>
      </w:tblGrid>
      <w:tr>
        <w:tblPrEx>
          <w:tblBorders>
            <w:top w:val="single" w:color="FF0000" w:sz="24" w:space="0"/>
            <w:left w:val="single" w:color="FFFFFF" w:sz="4" w:space="0"/>
            <w:bottom w:val="single" w:color="FFFFFF" w:sz="4" w:space="0"/>
            <w:right w:val="single" w:color="FFFFFF"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222" w:type="dxa"/>
            <w:noWrap w:val="0"/>
            <w:vAlign w:val="top"/>
          </w:tcPr>
          <w:p>
            <w:pPr>
              <w:spacing w:line="580" w:lineRule="exact"/>
              <w:rPr>
                <w:rFonts w:ascii="仿宋_GB2312" w:hAnsi="新宋体" w:eastAsia="仿宋_GB2312"/>
                <w:bCs/>
                <w:sz w:val="32"/>
                <w:szCs w:val="32"/>
              </w:rPr>
            </w:pPr>
            <w:r>
              <w:rPr>
                <w:rFonts w:hint="eastAsia" w:ascii="仿宋_GB2312" w:eastAsia="仿宋_GB2312"/>
                <w:bCs/>
                <w:color w:val="000000"/>
                <w:spacing w:val="20"/>
                <w:sz w:val="32"/>
                <w:szCs w:val="32"/>
              </w:rPr>
              <w:t xml:space="preserve"> </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760" w:lineRule="exact"/>
        <w:jc w:val="center"/>
        <w:textAlignment w:val="auto"/>
        <w:rPr>
          <w:rFonts w:hint="eastAsia" w:ascii="方正小标宋简体" w:hAnsi="方正小标宋简体" w:eastAsia="方正小标宋简体" w:cs="方正小标宋简体"/>
          <w:b w:val="0"/>
          <w:bCs/>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rPr>
        <w:t>广东省科协印发《关于认真学习宣传贯彻</w:t>
      </w:r>
    </w:p>
    <w:p>
      <w:pPr>
        <w:keepNext w:val="0"/>
        <w:keepLines w:val="0"/>
        <w:pageBreakBefore w:val="0"/>
        <w:widowControl w:val="0"/>
        <w:shd w:val="solid" w:color="FFFFFF" w:fill="auto"/>
        <w:kinsoku/>
        <w:wordWrap/>
        <w:overflowPunct/>
        <w:topLinePunct w:val="0"/>
        <w:autoSpaceDE/>
        <w:autoSpaceDN w:val="0"/>
        <w:bidi w:val="0"/>
        <w:adjustRightInd/>
        <w:snapToGrid/>
        <w:spacing w:line="760" w:lineRule="exact"/>
        <w:jc w:val="center"/>
        <w:textAlignment w:val="auto"/>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rPr>
        <w:t>省第十三次党代会精神的工作方案》的通知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各省级学会、协会、研究会，各地级以上市科协，</w:t>
      </w:r>
      <w:r>
        <w:rPr>
          <w:rFonts w:hint="eastAsia" w:ascii="仿宋" w:hAnsi="仿宋" w:eastAsia="仿宋" w:cs="仿宋"/>
          <w:sz w:val="32"/>
          <w:szCs w:val="32"/>
          <w:lang w:eastAsia="zh-CN"/>
        </w:rPr>
        <w:t>各高校科协、企业科协，</w:t>
      </w:r>
      <w:r>
        <w:rPr>
          <w:rFonts w:hint="eastAsia" w:ascii="仿宋" w:hAnsi="仿宋" w:eastAsia="仿宋" w:cs="仿宋"/>
          <w:sz w:val="32"/>
          <w:szCs w:val="32"/>
        </w:rPr>
        <w:t>省科协机关各部室、直属各单位：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为深入学习宣传贯彻省第十三次党代会精神，按照《中共广东省委关于认真学习宣传省第十三次党代会精神的通知》</w:t>
      </w:r>
      <w:r>
        <w:rPr>
          <w:rFonts w:hint="eastAsia" w:ascii="仿宋" w:hAnsi="仿宋" w:eastAsia="仿宋" w:cs="仿宋"/>
          <w:sz w:val="32"/>
          <w:szCs w:val="32"/>
          <w:lang w:eastAsia="zh-CN"/>
        </w:rPr>
        <w:t>（粤发〔</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9号</w:t>
      </w:r>
      <w:r>
        <w:rPr>
          <w:rFonts w:hint="eastAsia" w:ascii="仿宋" w:hAnsi="仿宋" w:eastAsia="仿宋" w:cs="仿宋"/>
          <w:sz w:val="32"/>
          <w:szCs w:val="32"/>
          <w:lang w:eastAsia="zh-CN"/>
        </w:rPr>
        <w:t>）</w:t>
      </w:r>
      <w:r>
        <w:rPr>
          <w:rFonts w:hint="eastAsia" w:ascii="仿宋" w:hAnsi="仿宋" w:eastAsia="仿宋" w:cs="仿宋"/>
          <w:sz w:val="32"/>
          <w:szCs w:val="32"/>
        </w:rPr>
        <w:t>要求，结合实际，广东省科协制定了《关于认真学习宣传贯彻省第十三次党代会精神的工作方案》，现印发给你们，请</w:t>
      </w:r>
      <w:r>
        <w:rPr>
          <w:rFonts w:hint="eastAsia" w:ascii="仿宋" w:hAnsi="仿宋" w:eastAsia="仿宋" w:cs="仿宋"/>
          <w:sz w:val="32"/>
          <w:szCs w:val="32"/>
          <w:lang w:eastAsia="zh-CN"/>
        </w:rPr>
        <w:t>认真贯彻落实。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sectPr>
          <w:pgSz w:w="11906" w:h="16838"/>
          <w:pgMar w:top="4252" w:right="1814" w:bottom="1701" w:left="1814" w:header="851" w:footer="992" w:gutter="0"/>
          <w:cols w:space="720" w:num="1"/>
          <w:rtlGutter w:val="0"/>
          <w:docGrid w:type="lines" w:linePitch="320" w:charSpace="0"/>
        </w:sect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广东省</w:t>
      </w:r>
      <w:r>
        <w:rPr>
          <w:rFonts w:hint="eastAsia" w:ascii="仿宋" w:hAnsi="仿宋" w:eastAsia="仿宋" w:cs="仿宋"/>
          <w:sz w:val="32"/>
          <w:szCs w:val="32"/>
          <w:lang w:eastAsia="zh-CN"/>
        </w:rPr>
        <w:t>科学技术协会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（联系人：刘泽周，电话：</w:t>
      </w:r>
      <w:r>
        <w:rPr>
          <w:rFonts w:hint="eastAsia" w:ascii="仿宋" w:hAnsi="仿宋" w:eastAsia="仿宋" w:cs="仿宋"/>
          <w:sz w:val="32"/>
          <w:szCs w:val="32"/>
          <w:lang w:val="en-US" w:eastAsia="zh-CN"/>
        </w:rPr>
        <w:t>83517658</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sectPr>
          <w:pgSz w:w="11906" w:h="16838"/>
          <w:pgMar w:top="2041" w:right="1814" w:bottom="1701" w:left="1814" w:header="851" w:footer="992" w:gutter="0"/>
          <w:cols w:space="72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关于认真学习宣传贯彻</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省第十三次党代会精神的</w:t>
      </w: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为进一步掀起学习宣传贯彻省第十三次党代会精神热潮，切实把广大科技工作者智慧和力量凝聚到落实省党代会提出的目标要求和工作任务上来，</w:t>
      </w:r>
      <w:r>
        <w:rPr>
          <w:rFonts w:hint="eastAsia" w:ascii="仿宋" w:hAnsi="仿宋" w:eastAsia="仿宋" w:cs="仿宋"/>
          <w:color w:val="000000"/>
          <w:sz w:val="32"/>
          <w:szCs w:val="32"/>
          <w:lang w:eastAsia="zh-CN"/>
        </w:rPr>
        <w:t>按照《中共广东省委关于认真学习宣传省第十三次党代会精神的通知》要求，</w:t>
      </w:r>
      <w:r>
        <w:rPr>
          <w:rFonts w:hint="eastAsia" w:ascii="仿宋" w:hAnsi="仿宋" w:eastAsia="仿宋" w:cs="仿宋"/>
          <w:color w:val="000000"/>
          <w:sz w:val="32"/>
          <w:szCs w:val="32"/>
        </w:rPr>
        <w:t>结合科协实际，制定科协系统学习宣传贯彻省第十三次党代会精神</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方案如下。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提高思想认识，把学习宣传贯彻省第十三次党代会精神作为一项重要政治任务抓紧压实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省第十三次党代会是在广东进入全面建设社会主义现代化新征程、豪情满怀迎接党的二十大胜利召开的关键时刻召开的一次十分重要的会议。李希同志代表中共广东省第十二届委员会作的报告，实事求是总结过去五年我省落实习近平总书记对广东重要讲话和重要指示精神所取得的新进展新成就，深化实施“1+1+9”工作部署，明确了今后五年工作的总体要求、主要目标、重点任务，是指导广东未来一个时期发展的施工图、任务书。大会选举产生了新一届省委领导班子，将团结带领全省上下扛起习近平总书记的厚望重托，朝着既定目标奋发努力、勇毅前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省委</w:t>
      </w:r>
      <w:r>
        <w:rPr>
          <w:rFonts w:hint="eastAsia" w:ascii="仿宋" w:hAnsi="仿宋" w:eastAsia="仿宋" w:cs="仿宋"/>
          <w:color w:val="000000"/>
          <w:sz w:val="32"/>
          <w:szCs w:val="32"/>
        </w:rPr>
        <w:t>高度重视省第十三次党代会的学习宣传贯彻工作，印发《</w:t>
      </w:r>
      <w:r>
        <w:rPr>
          <w:rFonts w:hint="eastAsia" w:ascii="仿宋" w:hAnsi="仿宋" w:eastAsia="仿宋" w:cs="仿宋"/>
          <w:color w:val="000000"/>
          <w:sz w:val="32"/>
          <w:szCs w:val="32"/>
          <w:lang w:eastAsia="zh-CN"/>
        </w:rPr>
        <w:t>中共广东省委关于认真学习宣传省第十三次党代会精神的通知</w:t>
      </w:r>
      <w:r>
        <w:rPr>
          <w:rFonts w:hint="eastAsia" w:ascii="仿宋" w:hAnsi="仿宋" w:eastAsia="仿宋" w:cs="仿宋"/>
          <w:color w:val="000000"/>
          <w:sz w:val="32"/>
          <w:szCs w:val="32"/>
        </w:rPr>
        <w:t>》，对学习宣传贯彻工作作出明确部署、提出明确要求。</w:t>
      </w:r>
      <w:r>
        <w:rPr>
          <w:rFonts w:hint="eastAsia" w:ascii="仿宋" w:hAnsi="仿宋" w:eastAsia="仿宋" w:cs="仿宋"/>
          <w:color w:val="000000"/>
          <w:sz w:val="32"/>
          <w:szCs w:val="32"/>
          <w:lang w:eastAsia="zh-CN"/>
        </w:rPr>
        <w:t>全省</w:t>
      </w:r>
      <w:r>
        <w:rPr>
          <w:rFonts w:hint="eastAsia" w:ascii="仿宋" w:hAnsi="仿宋" w:eastAsia="仿宋" w:cs="仿宋"/>
          <w:color w:val="000000"/>
          <w:sz w:val="32"/>
          <w:szCs w:val="32"/>
        </w:rPr>
        <w:t>各级科协组织要深刻认识学习宣传贯彻</w:t>
      </w:r>
      <w:r>
        <w:rPr>
          <w:rFonts w:hint="eastAsia" w:ascii="仿宋" w:hAnsi="仿宋" w:eastAsia="仿宋" w:cs="仿宋"/>
          <w:color w:val="000000"/>
          <w:sz w:val="32"/>
          <w:szCs w:val="32"/>
          <w:lang w:eastAsia="zh-CN"/>
        </w:rPr>
        <w:t>省第十三次党代会精神</w:t>
      </w:r>
      <w:r>
        <w:rPr>
          <w:rFonts w:hint="eastAsia" w:ascii="仿宋" w:hAnsi="仿宋" w:eastAsia="仿宋" w:cs="仿宋"/>
          <w:color w:val="000000"/>
          <w:sz w:val="32"/>
          <w:szCs w:val="32"/>
        </w:rPr>
        <w:t>的重大意义，把学习宣传贯彻</w:t>
      </w:r>
      <w:r>
        <w:rPr>
          <w:rFonts w:hint="eastAsia" w:ascii="仿宋" w:hAnsi="仿宋" w:eastAsia="仿宋" w:cs="仿宋"/>
          <w:color w:val="000000"/>
          <w:sz w:val="32"/>
          <w:szCs w:val="32"/>
          <w:lang w:eastAsia="zh-CN"/>
        </w:rPr>
        <w:t>省第十三次党代会精神</w:t>
      </w:r>
      <w:r>
        <w:rPr>
          <w:rFonts w:hint="eastAsia" w:ascii="仿宋" w:hAnsi="仿宋" w:eastAsia="仿宋" w:cs="仿宋"/>
          <w:color w:val="000000"/>
          <w:sz w:val="32"/>
          <w:szCs w:val="32"/>
        </w:rPr>
        <w:t>作为当前和今后一段时期的</w:t>
      </w:r>
      <w:r>
        <w:rPr>
          <w:rFonts w:hint="eastAsia" w:ascii="仿宋" w:hAnsi="仿宋" w:eastAsia="仿宋" w:cs="仿宋"/>
          <w:color w:val="000000"/>
          <w:sz w:val="32"/>
          <w:szCs w:val="32"/>
          <w:lang w:eastAsia="zh-CN"/>
        </w:rPr>
        <w:t>一项重要</w:t>
      </w:r>
      <w:r>
        <w:rPr>
          <w:rFonts w:hint="eastAsia" w:ascii="仿宋" w:hAnsi="仿宋" w:eastAsia="仿宋" w:cs="仿宋"/>
          <w:color w:val="000000"/>
          <w:sz w:val="32"/>
          <w:szCs w:val="32"/>
        </w:rPr>
        <w:t>政治任务，不断深化对习近平新时代中国特色社会主义思想的深刻理解，</w:t>
      </w:r>
      <w:r>
        <w:rPr>
          <w:rFonts w:hint="eastAsia" w:ascii="仿宋" w:hAnsi="仿宋" w:eastAsia="仿宋" w:cs="仿宋"/>
          <w:color w:val="000000"/>
          <w:sz w:val="32"/>
          <w:szCs w:val="32"/>
          <w:lang w:eastAsia="zh-CN"/>
        </w:rPr>
        <w:t>不断</w:t>
      </w:r>
      <w:r>
        <w:rPr>
          <w:rFonts w:hint="eastAsia" w:ascii="仿宋" w:hAnsi="仿宋" w:eastAsia="仿宋" w:cs="仿宋"/>
          <w:color w:val="000000"/>
          <w:sz w:val="32"/>
          <w:szCs w:val="32"/>
        </w:rPr>
        <w:t>深化对习近平总书记对广东系列重要讲话和重要指示精神贯通</w:t>
      </w:r>
      <w:r>
        <w:rPr>
          <w:rFonts w:hint="eastAsia" w:ascii="仿宋" w:hAnsi="仿宋" w:eastAsia="仿宋" w:cs="仿宋"/>
          <w:color w:val="000000"/>
          <w:sz w:val="32"/>
          <w:szCs w:val="32"/>
          <w:lang w:eastAsia="zh-CN"/>
        </w:rPr>
        <w:t>领会，忠诚拥护“两个确立”、坚决做到“两个维护”，切实把省第十三次党代会精神贯彻落实到科协工作的各个环节各个方面，为实现习近平总书记赋予广东在全面建设社会主义现代化国家新征程中走在全国前列、创造新的辉煌的使命任务作出新的更大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二、加强学习宣传，深刻领会、准确把握省第十三次党代会的丰富内涵和精神实质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学习宣传贯彻省第十三次党代会精神，必须坚持全面准确，做到学深悟透，重点是深刻领会、准确把握李希同志所作报告的丰富内涵和精神实质。深刻领会、准确把握过去五年广东各项事业取得的新进展新成就和积累的经验做法、未来五年广东发展的总体要求和主要目标、全面贯彻新时代党的建设总要求的重大举措、全面深化改革开放的关键要义、深化落实九项重点工作任务的部署要求。必须坚持统一部署和创新推进并重、抓好机关和抓好系统并重、学懂弄通和抓实见效并重，突出整体性、关联性、协同性，做到规定动作不走样、自选动作有特色，统筹推进学习宣传贯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（一）抓好学习培训。</w:t>
      </w:r>
      <w:r>
        <w:rPr>
          <w:rFonts w:hint="eastAsia" w:ascii="仿宋" w:hAnsi="仿宋" w:eastAsia="仿宋" w:cs="仿宋"/>
          <w:color w:val="000000"/>
          <w:sz w:val="32"/>
          <w:szCs w:val="32"/>
          <w:lang w:val="en-US" w:eastAsia="zh-CN"/>
        </w:rPr>
        <w:t>党组、理论学习中心组、直属机关党委、党支部分层面集中学习交流。邀请省委宣讲团成员为直属机关、科技社团党组织全体党员作专题辅导报告。</w:t>
      </w:r>
      <w:r>
        <w:rPr>
          <w:rFonts w:hint="eastAsia" w:ascii="仿宋" w:hAnsi="仿宋" w:eastAsia="仿宋" w:cs="仿宋"/>
          <w:color w:val="000000"/>
          <w:sz w:val="32"/>
          <w:szCs w:val="32"/>
          <w:lang w:eastAsia="zh-CN"/>
        </w:rPr>
        <w:t>组织选派好党员领导干部参加省委党校举办专题学习研讨班。把</w:t>
      </w:r>
      <w:r>
        <w:rPr>
          <w:rFonts w:hint="eastAsia" w:ascii="仿宋" w:hAnsi="仿宋" w:eastAsia="仿宋" w:cs="仿宋"/>
          <w:color w:val="000000"/>
          <w:sz w:val="32"/>
          <w:szCs w:val="32"/>
          <w:lang w:val="en-US" w:eastAsia="zh-CN"/>
        </w:rPr>
        <w:t>省第十三次党代会精神纳入广东省科协党校教育培训内容，务求学深悟透。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（二）抓好集中宣讲。</w:t>
      </w:r>
      <w:r>
        <w:rPr>
          <w:rFonts w:hint="eastAsia" w:ascii="仿宋" w:hAnsi="仿宋" w:eastAsia="仿宋" w:cs="仿宋"/>
          <w:color w:val="000000"/>
          <w:sz w:val="32"/>
          <w:szCs w:val="32"/>
          <w:lang w:val="en-US" w:eastAsia="zh-CN"/>
        </w:rPr>
        <w:t>省党代会代表带头在本单位宣讲。党组</w:t>
      </w:r>
      <w:r>
        <w:rPr>
          <w:rFonts w:hint="eastAsia" w:ascii="仿宋" w:hAnsi="仿宋" w:eastAsia="仿宋" w:cs="仿宋"/>
          <w:color w:val="000000"/>
          <w:sz w:val="32"/>
          <w:szCs w:val="32"/>
          <w:lang w:eastAsia="zh-CN"/>
        </w:rPr>
        <w:t>成员</w:t>
      </w:r>
      <w:r>
        <w:rPr>
          <w:rFonts w:hint="eastAsia" w:ascii="仿宋" w:hAnsi="仿宋" w:eastAsia="仿宋" w:cs="仿宋"/>
          <w:color w:val="000000"/>
          <w:sz w:val="32"/>
          <w:szCs w:val="32"/>
          <w:lang w:val="en-US" w:eastAsia="zh-CN"/>
        </w:rPr>
        <w:t>带头深入基层一线宣讲省第十三次党代会精神，同干部群众开展面对面、互动式交流。直属机关党支部分别到挂钩联系科技社团党组织开展宣讲交流，</w:t>
      </w:r>
      <w:r>
        <w:rPr>
          <w:rFonts w:hint="eastAsia" w:ascii="仿宋" w:hAnsi="仿宋" w:eastAsia="仿宋" w:cs="仿宋"/>
          <w:color w:val="000000"/>
          <w:sz w:val="32"/>
          <w:szCs w:val="32"/>
          <w:lang w:eastAsia="zh-CN"/>
        </w:rPr>
        <w:t>党组成员、党支部书记结合分管领域和部门职责，就贯彻落实会议精神讲一次</w:t>
      </w:r>
      <w:r>
        <w:rPr>
          <w:rFonts w:hint="eastAsia" w:ascii="仿宋" w:hAnsi="仿宋" w:eastAsia="仿宋" w:cs="仿宋"/>
          <w:color w:val="000000"/>
          <w:sz w:val="32"/>
          <w:szCs w:val="32"/>
        </w:rPr>
        <w:t>专题党课。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（三）抓好调查研究。</w:t>
      </w:r>
      <w:r>
        <w:rPr>
          <w:rFonts w:hint="eastAsia" w:ascii="仿宋" w:hAnsi="仿宋" w:eastAsia="仿宋" w:cs="仿宋"/>
          <w:color w:val="000000"/>
          <w:sz w:val="32"/>
          <w:szCs w:val="32"/>
          <w:lang w:val="en-US" w:eastAsia="zh-CN"/>
        </w:rPr>
        <w:t>根据省委开展“大学习、深调研、真落实”的工作要求，由党组成员带头分4个组开展“激活赋能科技社团，发挥科技社团在推动科技创新强省建设中的独特作用”“青年科技工作者状况调查，进一步激发青年科技工作者创新创造活力”“加快构建现代科技馆体系，进一步推动全省公民科学素质提升”“国家海外人才离岸创新创业基地建设情况调查，助力粤港澳大湾区高水平人才高地建设”专题调研，撰写调研报告，</w:t>
      </w:r>
      <w:r>
        <w:rPr>
          <w:rFonts w:hint="eastAsia" w:ascii="仿宋" w:hAnsi="仿宋" w:eastAsia="仿宋" w:cs="仿宋"/>
          <w:color w:val="000000"/>
          <w:sz w:val="32"/>
          <w:szCs w:val="32"/>
        </w:rPr>
        <w:t>提出有力有效的对策措施</w:t>
      </w:r>
      <w:r>
        <w:rPr>
          <w:rFonts w:hint="eastAsia" w:ascii="仿宋" w:hAnsi="仿宋" w:eastAsia="仿宋" w:cs="仿宋"/>
          <w:color w:val="000000"/>
          <w:sz w:val="32"/>
          <w:szCs w:val="32"/>
          <w:lang w:val="en-US" w:eastAsia="zh-CN"/>
        </w:rPr>
        <w:t>，推动科协职责使命转化为具体的工作行动计划。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（四）抓好舆论宣传。</w:t>
      </w:r>
      <w:r>
        <w:rPr>
          <w:rFonts w:hint="eastAsia" w:ascii="仿宋" w:hAnsi="仿宋" w:eastAsia="仿宋" w:cs="仿宋"/>
          <w:color w:val="000000"/>
          <w:sz w:val="32"/>
          <w:szCs w:val="32"/>
          <w:lang w:val="en-US" w:eastAsia="zh-CN"/>
        </w:rPr>
        <w:t>坚持大宣传理念，精心策划、整体部署，充分利用主流媒体以及广东省科协官网、粤科普、广东科技工作者等宣传载体，多角度宣传阐释省第十三次党代会精神。在广东科技报开设专栏，宣传广大科技工作者对省第十三次党代会精神学习情况，回应科技工作者关切的热点焦点问题。及时发现学习宣传贯彻中涌现的典型人、典型事、典型单位，放大对科技界的引导力和影响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密切联系实际，切实把</w:t>
      </w:r>
      <w:r>
        <w:rPr>
          <w:rFonts w:hint="eastAsia" w:ascii="黑体" w:hAnsi="黑体" w:eastAsia="黑体" w:cs="黑体"/>
          <w:color w:val="000000"/>
          <w:sz w:val="32"/>
          <w:szCs w:val="32"/>
          <w:lang w:eastAsia="zh-CN"/>
        </w:rPr>
        <w:t>贯彻省第十三次党代会</w:t>
      </w:r>
      <w:r>
        <w:rPr>
          <w:rFonts w:hint="eastAsia" w:ascii="黑体" w:hAnsi="黑体" w:eastAsia="黑体" w:cs="黑体"/>
          <w:color w:val="000000"/>
          <w:sz w:val="32"/>
          <w:szCs w:val="32"/>
        </w:rPr>
        <w:t>精神转化为新时代科协</w:t>
      </w: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rPr>
        <w:t>的强大动力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学习宣传贯彻省第十三次党代会精神，十分关键的是推动大会确定的工作部署落细落实落具体。要结合科协实际完善发展思路，锚定重点任务，细化工作举措，切实把贯彻省第十三次党代会精神转化为新时代科协工作的强大动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（一）全面加强党的领导和党的建设。</w:t>
      </w:r>
      <w:r>
        <w:rPr>
          <w:rFonts w:hint="eastAsia" w:ascii="仿宋" w:hAnsi="仿宋" w:eastAsia="仿宋" w:cs="仿宋"/>
          <w:color w:val="000000"/>
          <w:sz w:val="32"/>
          <w:szCs w:val="32"/>
          <w:lang w:val="en-US" w:eastAsia="zh-CN"/>
        </w:rPr>
        <w:t>坚持把政治建设摆在首位。严格执行省委坚决落实“两个维护”十项制度机制和政治要件闭环、重要事项请示报告制度。认真落实第一议题制度，严格执行民主集中制。</w:t>
      </w:r>
      <w:r>
        <w:rPr>
          <w:rFonts w:hint="eastAsia" w:ascii="仿宋" w:hAnsi="仿宋" w:eastAsia="仿宋" w:cs="仿宋"/>
          <w:color w:val="000000"/>
          <w:sz w:val="32"/>
          <w:szCs w:val="32"/>
        </w:rPr>
        <w:t>切实做好防范化解风险工作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压实意识形态工作责任制，牢牢守住意识形态阵地。持之以恒正风肃纪反腐，贯彻落实中央八项规定及其实施细则精神，坚决纠治形式主义、官僚主义。树立正确选人用人导向，选拔使用优秀干部，加强干部交流轮岗锻炼。加强科协系统党建工作。深化拓展挂钩直联机制，提升科技社团党建“两个覆盖”质量。持续深化模范机关创建，深入实施新一轮加强基层党建三年行动计划，推动主题党日与“三会一课”、组织生活会、民主评议党员等制度的有机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楷体_GB2312" w:hAnsi="楷体_GB2312" w:eastAsia="楷体_GB2312" w:cs="楷体_GB2312"/>
          <w:color w:val="000000"/>
          <w:sz w:val="32"/>
          <w:szCs w:val="32"/>
          <w:lang w:val="en-US" w:eastAsia="zh-CN"/>
        </w:rPr>
        <w:t>（二）强化政治引领。</w:t>
      </w:r>
      <w:r>
        <w:rPr>
          <w:rFonts w:hint="eastAsia" w:ascii="仿宋" w:hAnsi="仿宋" w:eastAsia="仿宋" w:cs="仿宋"/>
          <w:color w:val="000000"/>
          <w:sz w:val="32"/>
          <w:szCs w:val="32"/>
          <w:lang w:eastAsia="zh-CN"/>
        </w:rPr>
        <w:t>推动习近平新时代中国特色社会主义思想深入人心。组织广大科技工作者深入学习贯彻习近平总书记系列重要讲话精神，在学懂弄通习近平总书记关于科技创新、人才工作和科协工作的重要论述上下功夫。</w:t>
      </w:r>
      <w:r>
        <w:rPr>
          <w:rFonts w:hint="eastAsia" w:ascii="仿宋" w:hAnsi="仿宋" w:eastAsia="仿宋" w:cs="仿宋"/>
          <w:color w:val="000000"/>
          <w:sz w:val="32"/>
          <w:szCs w:val="32"/>
          <w:lang w:val="en-US" w:eastAsia="zh-CN"/>
        </w:rPr>
        <w:t>大力</w:t>
      </w:r>
      <w:r>
        <w:rPr>
          <w:rFonts w:hint="eastAsia" w:ascii="仿宋" w:hAnsi="仿宋" w:eastAsia="仿宋" w:cs="仿宋"/>
          <w:color w:val="000000"/>
          <w:sz w:val="32"/>
          <w:szCs w:val="32"/>
          <w:lang w:val="zh-CN"/>
        </w:rPr>
        <w:t>弘扬中国科学家精神。</w:t>
      </w:r>
      <w:r>
        <w:rPr>
          <w:rFonts w:hint="eastAsia" w:ascii="仿宋" w:hAnsi="仿宋" w:eastAsia="仿宋" w:cs="仿宋"/>
          <w:color w:val="000000"/>
          <w:sz w:val="32"/>
          <w:szCs w:val="32"/>
        </w:rPr>
        <w:t>做好广东老科学家、重大</w:t>
      </w:r>
      <w:r>
        <w:rPr>
          <w:rFonts w:hint="eastAsia" w:ascii="仿宋" w:hAnsi="仿宋" w:eastAsia="仿宋" w:cs="仿宋"/>
          <w:color w:val="000000"/>
          <w:sz w:val="32"/>
          <w:szCs w:val="32"/>
          <w:lang w:eastAsia="zh-CN"/>
        </w:rPr>
        <w:t>科技人物</w:t>
      </w:r>
      <w:r>
        <w:rPr>
          <w:rFonts w:hint="eastAsia" w:ascii="仿宋" w:hAnsi="仿宋" w:eastAsia="仿宋" w:cs="仿宋"/>
          <w:color w:val="000000"/>
          <w:sz w:val="32"/>
          <w:szCs w:val="32"/>
        </w:rPr>
        <w:t>典型挖掘</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宣传。</w:t>
      </w:r>
      <w:r>
        <w:rPr>
          <w:rFonts w:hint="eastAsia" w:ascii="仿宋" w:hAnsi="仿宋" w:eastAsia="仿宋" w:cs="仿宋"/>
          <w:color w:val="000000"/>
          <w:sz w:val="32"/>
          <w:szCs w:val="32"/>
          <w:lang w:eastAsia="zh-CN"/>
        </w:rPr>
        <w:t>开展最美科技工作者学习宣传、科学家精神教育基地推荐、科学家精神进校园活动。</w:t>
      </w:r>
      <w:r>
        <w:rPr>
          <w:rFonts w:hint="eastAsia" w:ascii="仿宋" w:hAnsi="仿宋" w:eastAsia="仿宋" w:cs="仿宋"/>
          <w:color w:val="000000"/>
          <w:sz w:val="32"/>
          <w:szCs w:val="32"/>
        </w:rPr>
        <w:t>开展迎接学习宣传党的二十大系列活动。</w:t>
      </w:r>
      <w:r>
        <w:rPr>
          <w:rFonts w:hint="eastAsia" w:ascii="仿宋" w:hAnsi="仿宋" w:eastAsia="仿宋" w:cs="仿宋"/>
          <w:color w:val="000000"/>
          <w:sz w:val="32"/>
          <w:szCs w:val="32"/>
          <w:lang w:eastAsia="zh-CN"/>
        </w:rPr>
        <w:t>广泛开展群众性主题宣讲教育，讲足伟大成就，讲明发展前景。组织</w:t>
      </w:r>
      <w:r>
        <w:rPr>
          <w:rFonts w:hint="eastAsia" w:ascii="仿宋" w:hAnsi="仿宋" w:eastAsia="仿宋" w:cs="仿宋"/>
          <w:color w:val="000000"/>
          <w:sz w:val="32"/>
          <w:szCs w:val="32"/>
        </w:rPr>
        <w:t>开展“赞颂辉煌成就</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推进</w:t>
      </w:r>
      <w:r>
        <w:rPr>
          <w:rFonts w:hint="eastAsia" w:ascii="仿宋" w:hAnsi="仿宋" w:eastAsia="仿宋" w:cs="仿宋"/>
          <w:color w:val="000000"/>
          <w:sz w:val="32"/>
          <w:szCs w:val="32"/>
          <w:lang w:eastAsia="zh-CN"/>
        </w:rPr>
        <w:t>高水平</w:t>
      </w:r>
      <w:r>
        <w:rPr>
          <w:rFonts w:hint="eastAsia" w:ascii="仿宋" w:hAnsi="仿宋" w:eastAsia="仿宋" w:cs="仿宋"/>
          <w:color w:val="000000"/>
          <w:sz w:val="32"/>
          <w:szCs w:val="32"/>
        </w:rPr>
        <w:t>科技自立自强”</w:t>
      </w:r>
      <w:r>
        <w:rPr>
          <w:rFonts w:hint="eastAsia" w:ascii="仿宋" w:hAnsi="仿宋" w:eastAsia="仿宋" w:cs="仿宋"/>
          <w:color w:val="000000"/>
          <w:sz w:val="32"/>
          <w:szCs w:val="32"/>
          <w:lang w:eastAsia="zh-CN"/>
        </w:rPr>
        <w:t>系列活动，为党的二十大召开营造良好氛围，扎实做好</w:t>
      </w:r>
      <w:r>
        <w:rPr>
          <w:rFonts w:hint="eastAsia" w:ascii="仿宋" w:hAnsi="仿宋" w:eastAsia="仿宋" w:cs="仿宋"/>
          <w:color w:val="000000"/>
          <w:sz w:val="32"/>
          <w:szCs w:val="32"/>
        </w:rPr>
        <w:t>党的二十大</w:t>
      </w:r>
      <w:r>
        <w:rPr>
          <w:rFonts w:hint="eastAsia" w:ascii="仿宋" w:hAnsi="仿宋" w:eastAsia="仿宋" w:cs="仿宋"/>
          <w:color w:val="000000"/>
          <w:sz w:val="32"/>
          <w:szCs w:val="32"/>
          <w:lang w:eastAsia="zh-CN"/>
        </w:rPr>
        <w:t>精神宣传阐释。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楷体_GB2312" w:hAnsi="楷体_GB2312" w:eastAsia="楷体_GB2312" w:cs="楷体_GB2312"/>
          <w:color w:val="000000"/>
          <w:sz w:val="32"/>
          <w:szCs w:val="32"/>
          <w:lang w:eastAsia="zh-CN"/>
        </w:rPr>
        <w:t>（三）着力服务科技工作者。</w:t>
      </w:r>
      <w:r>
        <w:rPr>
          <w:rFonts w:hint="eastAsia" w:ascii="仿宋" w:hAnsi="仿宋" w:eastAsia="仿宋" w:cs="仿宋"/>
          <w:color w:val="000000"/>
          <w:sz w:val="32"/>
          <w:szCs w:val="32"/>
          <w:lang w:eastAsia="zh-CN"/>
        </w:rPr>
        <w:t>加强科技工作者联络服务工作，出台《青年科技人才培育计划管理办法》，助力粤港澳大湾区高水平人才高地建设。竭诚做好在粤工作院士休养考察、津补贴发放、医疗保障等服务工作，加强院士专家建议、决策咨询办理工作。扎实做好2022年青年科技人才培育计划、第十七届中国青年科技奖、第十八届中国青年女科学家奖、第二十四届中国科协求是杰出青年成果转化奖等评选推荐工作。建设学术交流成果共享平台，实施“学术能力提升计划”，持续办好“岭南科学论坛”“学术活动月”等活动，支持省级学会组织承办国际性、全国性高层次学术会议，积极开展有序承接政府转移职能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lang w:eastAsia="zh-CN"/>
        </w:rPr>
        <w:t>（四）着力服务创新驱动发展。</w:t>
      </w:r>
      <w:r>
        <w:rPr>
          <w:rFonts w:hint="eastAsia" w:ascii="仿宋" w:hAnsi="仿宋" w:eastAsia="仿宋" w:cs="仿宋"/>
          <w:color w:val="000000"/>
          <w:sz w:val="32"/>
          <w:szCs w:val="32"/>
          <w:lang w:eastAsia="zh-CN"/>
        </w:rPr>
        <w:t>着眼“双区”建设，横琴、前海两个合作区建设和“双城”联动，以粤港澳大湾区国际科技创新中心建设为引领，实施服务中心大局、建功立业行动，助力经济社会高质量发展。</w:t>
      </w:r>
      <w:r>
        <w:rPr>
          <w:rFonts w:hint="eastAsia" w:ascii="仿宋" w:hAnsi="仿宋" w:eastAsia="仿宋" w:cs="仿宋"/>
          <w:color w:val="000000"/>
          <w:sz w:val="32"/>
          <w:szCs w:val="32"/>
        </w:rPr>
        <w:t>依托</w:t>
      </w:r>
      <w:r>
        <w:rPr>
          <w:rFonts w:hint="eastAsia" w:ascii="仿宋" w:hAnsi="仿宋" w:eastAsia="仿宋" w:cs="仿宋"/>
          <w:color w:val="000000"/>
          <w:sz w:val="32"/>
          <w:szCs w:val="32"/>
          <w:lang w:eastAsia="zh-CN"/>
        </w:rPr>
        <w:t>广州、深圳、佛山</w:t>
      </w:r>
      <w:r>
        <w:rPr>
          <w:rFonts w:hint="eastAsia" w:ascii="仿宋" w:hAnsi="仿宋" w:eastAsia="仿宋" w:cs="仿宋"/>
          <w:color w:val="000000"/>
          <w:sz w:val="32"/>
          <w:szCs w:val="32"/>
        </w:rPr>
        <w:t>东莞松山湖高新区</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四个“科创中国”试点城市（园区），推动“科创中国”落地见效。推动院士工作站、科技专家工作站、学会科技服务站的升级赋能，助力企业技术创新、产业升级。继续组织科技工作者“上山下乡”科技志愿服务，深入实施乡村振兴科普惠民行动</w:t>
      </w:r>
      <w:r>
        <w:rPr>
          <w:rFonts w:hint="eastAsia" w:ascii="仿宋" w:hAnsi="仿宋" w:eastAsia="仿宋" w:cs="仿宋"/>
          <w:color w:val="000000"/>
          <w:sz w:val="32"/>
          <w:szCs w:val="32"/>
          <w:lang w:eastAsia="zh-CN"/>
        </w:rPr>
        <w:t>，助力乡村振兴。组织落实中国科协统一部署的工程师资格国际互认区域试点任务，打通粤港澳科技人才有序流动“最后一公里”。深化拓展粤港澳台科技社团、科技专家交流，助力港澳台科技工作者学术成长、职业发展。</w:t>
      </w:r>
      <w:r>
        <w:rPr>
          <w:rFonts w:hint="eastAsia" w:ascii="仿宋" w:hAnsi="仿宋" w:eastAsia="仿宋" w:cs="仿宋"/>
          <w:color w:val="000000"/>
          <w:sz w:val="32"/>
          <w:szCs w:val="32"/>
        </w:rPr>
        <w:t>携手打造大湾区科学论坛、大湾区人才发展论坛等高端交流平台。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楷体_GB2312" w:hAnsi="楷体_GB2312" w:eastAsia="楷体_GB2312" w:cs="楷体_GB2312"/>
          <w:color w:val="000000"/>
          <w:sz w:val="32"/>
          <w:szCs w:val="32"/>
          <w:lang w:eastAsia="zh-CN"/>
        </w:rPr>
        <w:t>（五）着力服务公民科学素质提高。</w:t>
      </w:r>
      <w:r>
        <w:rPr>
          <w:rFonts w:hint="eastAsia" w:ascii="仿宋" w:hAnsi="仿宋" w:eastAsia="仿宋" w:cs="仿宋"/>
          <w:color w:val="000000"/>
          <w:sz w:val="32"/>
          <w:szCs w:val="32"/>
        </w:rPr>
        <w:t>深入贯彻落实《广东省科学技术普及条例》《</w:t>
      </w:r>
      <w:r>
        <w:rPr>
          <w:rFonts w:hint="eastAsia" w:ascii="仿宋" w:hAnsi="仿宋" w:eastAsia="仿宋" w:cs="仿宋"/>
          <w:color w:val="000000"/>
          <w:sz w:val="32"/>
          <w:szCs w:val="32"/>
          <w:lang w:eastAsia="zh-CN"/>
        </w:rPr>
        <w:t>广东省</w:t>
      </w:r>
      <w:r>
        <w:rPr>
          <w:rFonts w:hint="eastAsia" w:ascii="仿宋" w:hAnsi="仿宋" w:eastAsia="仿宋" w:cs="仿宋"/>
          <w:color w:val="000000"/>
          <w:sz w:val="32"/>
          <w:szCs w:val="32"/>
        </w:rPr>
        <w:t>全民科学素质行动</w:t>
      </w:r>
      <w:r>
        <w:rPr>
          <w:rFonts w:hint="eastAsia" w:ascii="仿宋" w:hAnsi="仿宋" w:eastAsia="仿宋" w:cs="仿宋"/>
          <w:color w:val="000000"/>
          <w:sz w:val="32"/>
          <w:szCs w:val="32"/>
          <w:lang w:eastAsia="zh-CN"/>
        </w:rPr>
        <w:t>规</w:t>
      </w:r>
      <w:r>
        <w:rPr>
          <w:rFonts w:hint="eastAsia" w:ascii="仿宋" w:hAnsi="仿宋" w:eastAsia="仿宋" w:cs="仿宋"/>
          <w:color w:val="000000"/>
          <w:sz w:val="32"/>
          <w:szCs w:val="32"/>
        </w:rPr>
        <w:t>划纲要</w:t>
      </w:r>
      <w:r>
        <w:rPr>
          <w:rFonts w:hint="eastAsia" w:ascii="仿宋" w:hAnsi="仿宋" w:eastAsia="仿宋" w:cs="仿宋"/>
          <w:color w:val="000000"/>
          <w:sz w:val="32"/>
          <w:szCs w:val="32"/>
          <w:lang w:eastAsia="zh-CN"/>
        </w:rPr>
        <w:t>实施方案（</w:t>
      </w:r>
      <w:r>
        <w:rPr>
          <w:rFonts w:hint="eastAsia" w:ascii="仿宋" w:hAnsi="仿宋" w:eastAsia="仿宋" w:cs="仿宋"/>
          <w:color w:val="000000"/>
          <w:sz w:val="32"/>
          <w:szCs w:val="32"/>
          <w:lang w:val="en-US" w:eastAsia="zh-CN"/>
        </w:rPr>
        <w:t>2021—2025年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》，着力整合科普资源</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加快筹建广东科普集团、“粤科普”公共服务平台。做大做强全国科普日、广东科普嘉年华、文化科技卫生“三下乡”等品牌活动，</w:t>
      </w:r>
      <w:r>
        <w:rPr>
          <w:rFonts w:hint="eastAsia" w:ascii="仿宋" w:hAnsi="仿宋" w:eastAsia="仿宋" w:cs="仿宋"/>
          <w:color w:val="000000"/>
          <w:sz w:val="32"/>
          <w:szCs w:val="32"/>
          <w:lang w:eastAsia="zh-CN"/>
        </w:rPr>
        <w:t>举办</w:t>
      </w:r>
      <w:r>
        <w:rPr>
          <w:rFonts w:hint="eastAsia" w:ascii="仿宋" w:hAnsi="仿宋" w:eastAsia="仿宋" w:cs="仿宋"/>
          <w:color w:val="000000"/>
          <w:sz w:val="32"/>
          <w:szCs w:val="32"/>
        </w:rPr>
        <w:t>科普作品创作大赛、全省健康科普大赛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林业科普讲解大赛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青少年科技创新大赛、机器人大赛</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组织开展两院院士赴粤东粤西粤北进校园活动。推进全国科普示范县（市、区）、全国全省科普教育基地创建活动，适时总结推广经验。加强科普条件和人才队伍建设</w:t>
      </w:r>
      <w:r>
        <w:rPr>
          <w:rFonts w:hint="eastAsia" w:ascii="仿宋" w:hAnsi="仿宋" w:eastAsia="仿宋" w:cs="仿宋"/>
          <w:color w:val="000000"/>
          <w:sz w:val="32"/>
          <w:szCs w:val="32"/>
          <w:lang w:eastAsia="zh-CN"/>
        </w:rPr>
        <w:t>，强化“科普中国”落地应用。做好科普人才建设规划，支持基层完善科技志愿服务体系。制定并实施《广东省科普基础条件提升三年行动计划（2022—2024年）》，开展校园科技馆建设试点，为部分地市配置流动科技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lang w:eastAsia="zh-CN"/>
        </w:rPr>
        <w:t>（六）着力服务党委政府科学决策。</w:t>
      </w:r>
      <w:r>
        <w:rPr>
          <w:rFonts w:hint="eastAsia" w:ascii="仿宋" w:hAnsi="仿宋" w:eastAsia="仿宋" w:cs="仿宋"/>
          <w:color w:val="000000"/>
          <w:sz w:val="32"/>
          <w:szCs w:val="32"/>
        </w:rPr>
        <w:t>支持省级学会建立专业特色智库，支持大湾区内高等院校、科研单位组建科技智库联盟，加强与国内外科技智库交流与合作，加快形成具有区域特色的柔性科技创新智库网络。支持省级学会参与承担区域重大科技创新战略、政策、规划的第三方评估。围绕省委决策部署和“一核一带一区”建设，发挥中国工程科技发展战略广东研究院作用，聚焦关键共性技术、领军科技人才培养、科技体制改革等重大问题，开展战略研究，提供咨询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加强组织保障，确保学习宣传贯彻工作落地见效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楷体_GB2312" w:hAnsi="楷体_GB2312" w:eastAsia="楷体_GB2312" w:cs="楷体_GB2312"/>
          <w:color w:val="000000"/>
          <w:sz w:val="32"/>
          <w:szCs w:val="32"/>
          <w:lang w:eastAsia="zh-CN"/>
        </w:rPr>
        <w:t>（一）加强组织领导。</w:t>
      </w:r>
      <w:r>
        <w:rPr>
          <w:rFonts w:hint="eastAsia" w:ascii="仿宋" w:hAnsi="仿宋" w:eastAsia="仿宋" w:cs="仿宋"/>
          <w:color w:val="000000"/>
          <w:sz w:val="32"/>
          <w:szCs w:val="32"/>
          <w:lang w:eastAsia="zh-CN"/>
        </w:rPr>
        <w:t>成立省科协学习宣传贯彻省第十三次党代会</w:t>
      </w:r>
      <w:r>
        <w:rPr>
          <w:rFonts w:hint="eastAsia" w:ascii="仿宋" w:hAnsi="仿宋" w:eastAsia="仿宋" w:cs="仿宋"/>
          <w:color w:val="000000"/>
          <w:sz w:val="32"/>
          <w:szCs w:val="32"/>
        </w:rPr>
        <w:t>精神</w:t>
      </w:r>
      <w:r>
        <w:rPr>
          <w:rFonts w:hint="eastAsia" w:ascii="仿宋" w:hAnsi="仿宋" w:eastAsia="仿宋" w:cs="仿宋"/>
          <w:color w:val="000000"/>
          <w:sz w:val="32"/>
          <w:szCs w:val="32"/>
          <w:lang w:eastAsia="zh-CN"/>
        </w:rPr>
        <w:t>领导小组，党组书记任组长，党组成员和一级巡视员任副组长，机关部室和直属单位主要负责人任领导小组成员。领导小组下设办公室，办公室设在直属机关党办。各级科协组织要制定学习宣传贯彻具体方案并实施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楷体_GB2312" w:hAnsi="楷体_GB2312" w:eastAsia="楷体_GB2312" w:cs="楷体_GB2312"/>
          <w:color w:val="000000"/>
          <w:sz w:val="32"/>
          <w:szCs w:val="32"/>
          <w:lang w:eastAsia="zh-CN"/>
        </w:rPr>
        <w:t>（二）强化督促检查。</w:t>
      </w:r>
      <w:r>
        <w:rPr>
          <w:rFonts w:hint="eastAsia" w:ascii="仿宋" w:hAnsi="仿宋" w:eastAsia="仿宋" w:cs="仿宋"/>
          <w:color w:val="000000"/>
          <w:sz w:val="32"/>
          <w:szCs w:val="32"/>
          <w:lang w:eastAsia="zh-CN"/>
        </w:rPr>
        <w:t>省科协直属机关党委、省科技社团党委要强化督促检查，对所辖党支部进行全覆盖、全过程的指导，帮助制定学习计划，开展专项督促检查，及时发现和解决问题，有效传导压力。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楷体_GB2312" w:hAnsi="楷体_GB2312" w:eastAsia="楷体_GB2312" w:cs="楷体_GB2312"/>
          <w:color w:val="000000"/>
          <w:sz w:val="32"/>
          <w:szCs w:val="32"/>
          <w:lang w:eastAsia="zh-CN"/>
        </w:rPr>
        <w:t>（三）及时总结报送。</w:t>
      </w:r>
      <w:r>
        <w:rPr>
          <w:rFonts w:hint="eastAsia" w:ascii="仿宋" w:hAnsi="仿宋" w:eastAsia="仿宋" w:cs="仿宋"/>
          <w:color w:val="000000"/>
          <w:sz w:val="32"/>
          <w:szCs w:val="32"/>
          <w:lang w:eastAsia="zh-CN"/>
        </w:rPr>
        <w:t>各省级学会、地市科协要认真总结学习宣传贯彻中的典型人、典型事、典型案例，以专题报告形式，及时向省科协报告学习宣传贯彻情况。</w:t>
      </w: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tbl>
      <w:tblPr>
        <w:tblStyle w:val="4"/>
        <w:tblW w:w="8310" w:type="dxa"/>
        <w:jc w:val="center"/>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10"/>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310" w:type="dxa"/>
            <w:tcBorders>
              <w:top w:val="single" w:color="auto" w:sz="12" w:space="0"/>
              <w:left w:val="single" w:color="FFFFFF" w:sz="12" w:space="0"/>
              <w:bottom w:val="single" w:color="auto" w:sz="12" w:space="0"/>
              <w:right w:val="single" w:color="FFFFFF" w:sz="12" w:space="0"/>
            </w:tcBorders>
            <w:noWrap w:val="0"/>
            <w:vAlign w:val="center"/>
          </w:tcPr>
          <w:p>
            <w:pPr>
              <w:spacing w:line="500" w:lineRule="exact"/>
              <w:ind w:right="-3"/>
              <w:jc w:val="center"/>
              <w:rPr>
                <w:rFonts w:hint="eastAsia" w:ascii="仿宋" w:hAnsi="仿宋" w:eastAsia="仿宋"/>
                <w:sz w:val="28"/>
                <w:szCs w:val="28"/>
                <w:lang w:eastAsia="zh-CN"/>
              </w:rPr>
            </w:pPr>
            <w:r>
              <w:rPr>
                <w:rFonts w:hint="eastAsia" w:ascii="仿宋" w:hAnsi="仿宋" w:eastAsia="仿宋"/>
                <w:sz w:val="28"/>
                <w:szCs w:val="28"/>
              </w:rPr>
              <w:t xml:space="preserve">广东省科协办公室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2022年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日印</w:t>
            </w:r>
            <w:r>
              <w:rPr>
                <w:rFonts w:hint="eastAsia" w:ascii="仿宋" w:hAnsi="仿宋" w:eastAsia="仿宋"/>
                <w:sz w:val="28"/>
                <w:szCs w:val="28"/>
                <w:lang w:eastAsia="zh-CN"/>
              </w:rPr>
              <w:t>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color w:val="000000"/>
          <w:sz w:val="32"/>
          <w:szCs w:val="32"/>
        </w:rPr>
      </w:pPr>
    </w:p>
    <w:sectPr>
      <w:footerReference r:id="rId3" w:type="default"/>
      <w:footerReference r:id="rId4" w:type="even"/>
      <w:pgSz w:w="11906" w:h="16838"/>
      <w:pgMar w:top="2041" w:right="1814" w:bottom="1701" w:left="1814"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Nimbus Roman No9 L"/>
    <w:panose1 w:val="02020603050405020304"/>
    <w:charset w:val="00"/>
    <w:family w:val="roman"/>
    <w:pitch w:val="default"/>
    <w:sig w:usb0="00000000" w:usb1="00000000" w:usb2="00000009" w:usb3="00000000" w:csb0="000001FF" w:csb1="00000000"/>
  </w:font>
  <w:font w:name="华文中宋">
    <w:altName w:val="汉仪中宋简"/>
    <w:panose1 w:val="02010600040101010101"/>
    <w:charset w:val="00"/>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华文中宋" w:hAnsi="华文中宋" w:eastAsia="华文中宋"/>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1</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华文中宋" w:hAnsi="华文中宋" w:eastAsia="华文中宋"/>
        <w:sz w:val="28"/>
        <w:szCs w:val="28"/>
      </w:rPr>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p>
    <w:r>
      <w:rPr>
        <w:rFonts w:hint="eastAsia"/>
        <w:sz w:val="18"/>
        <w:szCs w:val="1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C7BD9"/>
    <w:rsid w:val="3AC38C18"/>
    <w:rsid w:val="4FFE6E1C"/>
    <w:rsid w:val="6EFC7BD9"/>
    <w:rsid w:val="76B5C334"/>
    <w:rsid w:val="77DD8837"/>
    <w:rsid w:val="7EAD2077"/>
    <w:rsid w:val="BFFDDE83"/>
    <w:rsid w:val="BFFF6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表格文字"/>
    <w:qFormat/>
    <w:uiPriority w:val="0"/>
    <w:pPr>
      <w:widowControl w:val="0"/>
      <w:spacing w:before="25" w:after="25" w:line="300" w:lineRule="auto"/>
      <w:jc w:val="both"/>
    </w:pPr>
    <w:rPr>
      <w:rFonts w:ascii="Times" w:hAnsi="Times" w:eastAsia="宋体" w:cs="Times New Roman"/>
      <w:spacing w:val="10"/>
      <w:kern w:val="0"/>
      <w:sz w:val="21"/>
      <w:szCs w:val="21"/>
      <w:lang w:val="en-US" w:eastAsia="zh-CN"/>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2022-07-01T17:00:00Z</dcterms:created>
  <dc:creator>ht706</dc:creator>
  <cp:lastModifiedBy>ht706</cp:lastModifiedBy>
  <dcterms:modified xsi:type="dcterms:W3CDTF">2022-07-04T09:32:06Z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