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事项名称：天河区支持产业贡献人才</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w:t>
      </w:r>
      <w:bookmarkStart w:id="0" w:name="_GoBack"/>
      <w:r>
        <w:rPr>
          <w:rFonts w:hint="eastAsia" w:ascii="仿宋_GB2312" w:hAnsi="仿宋_GB2312" w:eastAsia="仿宋_GB2312"/>
          <w:color w:val="auto"/>
          <w:sz w:val="32"/>
          <w:lang w:val="en-US" w:eastAsia="zh-CN"/>
        </w:rPr>
        <w:t>最高不超过100万元</w:t>
      </w:r>
    </w:p>
    <w:bookmarkEnd w:id="0"/>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29. 支持租赁和购置办公场地。对新落户企业租赁或购买总部办公场地、存量企业新增租赁或购买总部办公场地在1000 平方米以上的（以依法登记产权的建筑面积计，均不包含自建），且企业在区建筑业年度产值排名前30的，给予年租金50%或购房款2%的支持，最高不超过100万元。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对新落户企业租赁或购买总部办公场地、存量企业新增租赁或购买总部办公场地在1000 平方米以上的（以依法登记产权的建筑面积计，均不包含自建），且企业在区建筑业年度产值排名前30名；</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r>
        <w:rPr>
          <w:rFonts w:hint="eastAsia" w:ascii="仿宋_GB2312" w:hAnsi="仿宋_GB2312" w:eastAsia="仿宋_GB2312" w:cstheme="minorBidi"/>
          <w:color w:val="auto"/>
          <w:kern w:val="2"/>
          <w:sz w:val="32"/>
          <w:szCs w:val="24"/>
          <w:lang w:val="en-US" w:eastAsia="zh-CN" w:bidi="ar"/>
        </w:rPr>
        <w:t>；</w:t>
      </w:r>
    </w:p>
    <w:p>
      <w:pPr>
        <w:pStyle w:val="4"/>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天河区支持租赁和购置办公场地奖励申请书，原件1份，企业加盖公章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房屋买卖合同备案证明，电子证照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房屋租赁登记备案证明，电子证照</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6A44B3"/>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235125"/>
    <w:rsid w:val="0D3E286F"/>
    <w:rsid w:val="0D5E1DC2"/>
    <w:rsid w:val="0D6E2040"/>
    <w:rsid w:val="0D990272"/>
    <w:rsid w:val="0DCB0DFE"/>
    <w:rsid w:val="0DDA24B7"/>
    <w:rsid w:val="0DF34B2E"/>
    <w:rsid w:val="0E1F2213"/>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8396A"/>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C60D0B"/>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727348"/>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835D9"/>
    <w:rsid w:val="2D4D3DB5"/>
    <w:rsid w:val="2D87176B"/>
    <w:rsid w:val="2D9919D0"/>
    <w:rsid w:val="2DC03A8A"/>
    <w:rsid w:val="2E0607EE"/>
    <w:rsid w:val="2E191DFC"/>
    <w:rsid w:val="2E1B2480"/>
    <w:rsid w:val="2E4D191C"/>
    <w:rsid w:val="2E644714"/>
    <w:rsid w:val="2E764599"/>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233F8F"/>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94F11"/>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3B3B96"/>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2B4040"/>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w:basedOn w:val="1"/>
    <w:qFormat/>
    <w:uiPriority w:val="0"/>
    <w:pPr>
      <w:ind w:firstLine="200" w:firstLineChars="200"/>
    </w:pPr>
    <w:rPr>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1346</Words>
  <Characters>1408</Characters>
  <Lines>0</Lines>
  <Paragraphs>0</Paragraphs>
  <TotalTime>8</TotalTime>
  <ScaleCrop>false</ScaleCrop>
  <LinksUpToDate>false</LinksUpToDate>
  <CharactersWithSpaces>1417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Xian</cp:lastModifiedBy>
  <dcterms:modified xsi:type="dcterms:W3CDTF">2023-08-25T08:53:26Z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363534893_btnclosed</vt:lpwstr>
  </property>
  <property fmtid="{D5CDD505-2E9C-101B-9397-08002B2CF9AE}" pid="4" name="ICV">
    <vt:lpwstr>18838B6057B746C98294563FE55A215E_13</vt:lpwstr>
  </property>
</Properties>
</file>