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624" w:beforeLines="200" w:after="312" w:afterLines="100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>
        <w:rPr>
          <w:rFonts w:hint="eastAsia" w:ascii="小标宋" w:eastAsia="小标宋"/>
          <w:sz w:val="44"/>
          <w:szCs w:val="44"/>
        </w:rPr>
        <w:t>中国农技协科技小院自评报告（模板）</w:t>
      </w:r>
    </w:p>
    <w:bookmarkEnd w:id="0"/>
    <w:p>
      <w:pPr>
        <w:jc w:val="center"/>
        <w:rPr>
          <w:b/>
          <w:bCs/>
          <w:szCs w:val="28"/>
        </w:rPr>
      </w:pPr>
    </w:p>
    <w:p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一、基本情况</w:t>
      </w:r>
    </w:p>
    <w:p>
      <w:pPr>
        <w:spacing w:line="580" w:lineRule="exact"/>
        <w:ind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包括科技小院场所建设、设施配套、制度建设、教师和研究生入住人数及天数、撰写工作日志等情况。</w:t>
      </w:r>
    </w:p>
    <w:p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二、工作绩效</w:t>
      </w:r>
    </w:p>
    <w:p>
      <w:pPr>
        <w:spacing w:line="580" w:lineRule="exact"/>
        <w:ind w:left="120" w:leftChars="50"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包括在农业科技创新、赋能基层农技协、乡土人才培育、科技志愿服务、科普活动、赓续农耕文明等方面的工作情况。</w:t>
      </w:r>
    </w:p>
    <w:p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三、社会评价</w:t>
      </w:r>
    </w:p>
    <w:p>
      <w:pPr>
        <w:spacing w:line="580" w:lineRule="exact"/>
        <w:ind w:left="120" w:leftChars="50" w:firstLine="640" w:firstLineChars="20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包括当地群众满意度、党委政府重视支持、媒体新闻报道等情况（附批复批示、新闻稿或有关新闻材料）。</w:t>
      </w:r>
    </w:p>
    <w:p>
      <w:pPr>
        <w:spacing w:line="580" w:lineRule="exact"/>
        <w:ind w:left="1920" w:leftChars="200" w:hanging="1440" w:hangingChars="450"/>
        <w:jc w:val="both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四、一项代表性业绩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0EDB5F37"/>
    <w:rsid w:val="0ED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2024-01-05T08:14:00Z</dcterms:created>
  <dc:creator>移动公共会员</dc:creator>
  <cp:lastModifiedBy>移动公共会员</cp:lastModifiedBy>
  <dcterms:modified xsi:type="dcterms:W3CDTF">2024-01-05T08:14:46Z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A8C5CEAC6A8A40778D53CD07EE3257A4_11</vt:lpwstr>
  </property>
</Properties>
</file>