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40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关于开展“3·5”学雷锋全国农技协助春耕科技志愿服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务联合行动的通知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0"/>
        <w:jc w:val="both"/>
        <w:rPr>
          <w:rFonts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各分支机构，各省、自治区、直辖市农技协（联合会），各有关单位：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第61个“学雷锋纪念日”到来之际，为进一步传承和弘扬新时代雷锋精神，团结引领广大科技工作者、乡土人才积极参与科技志愿服务活动，助力春耕备耕，中国农技协将组织开展“3·5”学雷锋全国农技协助春耕科技志愿服务联合行动，以实际行动贯彻落实党的二十大精神，书写新时代雷锋故事。现将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 活动主题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传承弘扬雷锋精神 科技助力乡村振兴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 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1.服务春耕备耕活动。结合当地春耕备耕实际需求，广泛动员、积极组织各级农技协组织和科技工作者，开展科技咨询、技术培训、现场指导等活动，扎实服务各地春耕备耕工作。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2.开展农村科普活动。促进优质科技科普资源深入农村、服务农民，将习近平生态文明思想、社会主义核心价值观宣传教育等有效融入，助力乡村振兴。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 相关要求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加强组织，协同合作。各单位要把此次联合行动作为服务乡村振兴的一项重要工作，结合优势、发挥特色、充分动员、认真组织，推动联合行动取得实效。请各活动具体举办单位于2024年4月8日前，通过扫描二维码填报活动信息，并上传活动图片或视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/>
        <w:jc w:val="center"/>
        <w:rPr>
          <w:color w:val="000000"/>
        </w:rPr>
      </w:pPr>
      <w:r>
        <w:rPr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562350" cy="3505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强化宣传，做好总结。各单位要充分发挥主流媒体、新媒体作用，宣传好、展示好典型事迹和科普成效，提升公众参与度，营造浓厚氛围。总结凝练工作经验模式，扩大活动覆盖面。此次联合行动将发布优秀个人、优秀活动和优秀组织单位。请各省农技协等相关组织单位于2024年4月8日前，完成活动信息汇总表（附件1）和优秀个人、优秀活动推荐表（推荐数量分别不超过3个，见附件2、3）发送至中国农技协邮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联系人：武文慧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通信地址：北京市朝阳区白家庄东里13号楼6层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联系电话：010-65001928 17810278952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电子邮箱：zgnjx@cast.org.cn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begin"/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instrText xml:space="preserve"> HYPERLINK "https://www.nongjixie.org/uploads/admin/202402/65dedd98c1eef.docx" \t "https://www.nongjixie.org/cms/arcview/_self" </w:instrText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1.活动信息汇总表</w:t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begin"/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instrText xml:space="preserve"> HYPERLINK "https://www.nongjixie.org/uploads/admin/202402/65dedd2ef10a3.docx" \t "https://www.nongjixie.org/cms/arcview/_self" </w:instrText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2.优秀个人推荐表</w:t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begin"/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instrText xml:space="preserve"> HYPERLINK "https://www.nongjixie.org/uploads/admin/202402/65deddb09ab72.docx" \t "https://www.nongjixie.org/cms/arcview/_self" </w:instrText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3.优秀活动推荐表</w:t>
      </w:r>
      <w:r>
        <w:rPr>
          <w:rFonts w:hint="eastAsia" w:ascii="Microsoft YaHei UI" w:hAnsi="Microsoft YaHei UI" w:eastAsia="Microsoft YaHei UI" w:cs="Microsoft YaHei UI"/>
          <w:color w:val="000000"/>
          <w:spacing w:val="9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中国农村专业技术协会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36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2024年2月27日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jhhYzM5ZDYzMzY3MWE1NWM2YWY1YTQ1ZTgzYWQifQ=="/>
  </w:docVars>
  <w:rsids>
    <w:rsidRoot w:val="2B6974E6"/>
    <w:rsid w:val="2B6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2024-03-12T08:10:00Z</dcterms:created>
  <dc:creator>WPS_1641887300</dc:creator>
  <cp:lastModifiedBy>WPS_1641887300</cp:lastModifiedBy>
  <dcterms:modified xsi:type="dcterms:W3CDTF">2024-03-12T08:15:26Z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CB02E847A75B49D0B379C16284592D3A_11</vt:lpwstr>
  </property>
</Properties>
</file>