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5F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华文中宋" w:hAnsi="华文中宋" w:eastAsia="华文中宋" w:cs="华文中宋"/>
          <w:b w:val="0"/>
          <w:bCs w:val="0"/>
          <w:color w:val="333333"/>
          <w:sz w:val="44"/>
          <w:szCs w:val="44"/>
        </w:rPr>
      </w:pPr>
      <w:bookmarkStart w:id="0" w:name="_GoBack"/>
      <w:r>
        <w:rPr>
          <w:rFonts w:hint="eastAsia" w:ascii="华文中宋" w:hAnsi="华文中宋" w:eastAsia="华文中宋" w:cs="华文中宋"/>
          <w:b w:val="0"/>
          <w:bCs w:val="0"/>
          <w:i w:val="0"/>
          <w:iCs w:val="0"/>
          <w:caps w:val="0"/>
          <w:color w:val="333333"/>
          <w:spacing w:val="0"/>
          <w:sz w:val="44"/>
          <w:szCs w:val="44"/>
          <w:bdr w:val="none" w:color="auto" w:sz="0" w:space="0"/>
          <w:shd w:val="clear" w:fill="FFFFFF"/>
        </w:rPr>
        <w:t>关于开展2024年全国科普日暨中国农民丰收节农技协联合行动的通知</w:t>
      </w:r>
    </w:p>
    <w:bookmarkEnd w:id="0"/>
    <w:p w14:paraId="597433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20" w:lineRule="exact"/>
        <w:ind w:left="0" w:right="0" w:firstLine="0"/>
        <w:jc w:val="center"/>
        <w:textAlignment w:val="auto"/>
        <w:rPr>
          <w:rFonts w:hint="eastAsia" w:ascii="仿宋" w:hAnsi="仿宋" w:eastAsia="仿宋" w:cs="仿宋"/>
          <w:i w:val="0"/>
          <w:iCs w:val="0"/>
          <w:caps w:val="0"/>
          <w:color w:val="898989"/>
          <w:spacing w:val="0"/>
          <w:sz w:val="28"/>
          <w:szCs w:val="28"/>
          <w:u w:val="none"/>
        </w:rPr>
      </w:pPr>
      <w:r>
        <w:rPr>
          <w:rFonts w:hint="eastAsia" w:ascii="仿宋" w:hAnsi="仿宋" w:eastAsia="仿宋" w:cs="仿宋"/>
          <w:i w:val="0"/>
          <w:iCs w:val="0"/>
          <w:caps w:val="0"/>
          <w:color w:val="000000"/>
          <w:spacing w:val="0"/>
          <w:kern w:val="0"/>
          <w:sz w:val="28"/>
          <w:szCs w:val="28"/>
          <w:u w:val="none"/>
          <w:bdr w:val="none" w:color="auto" w:sz="0" w:space="0"/>
          <w:shd w:val="clear" w:fill="FFFFFF"/>
          <w:lang w:val="en-US" w:eastAsia="zh-CN" w:bidi="ar"/>
        </w:rPr>
        <w:fldChar w:fldCharType="begin"/>
      </w:r>
      <w:r>
        <w:rPr>
          <w:rFonts w:hint="eastAsia" w:ascii="仿宋" w:hAnsi="仿宋" w:eastAsia="仿宋" w:cs="仿宋"/>
          <w:i w:val="0"/>
          <w:iCs w:val="0"/>
          <w:caps w:val="0"/>
          <w:color w:val="000000"/>
          <w:spacing w:val="0"/>
          <w:kern w:val="0"/>
          <w:sz w:val="28"/>
          <w:szCs w:val="28"/>
          <w:u w:val="none"/>
          <w:bdr w:val="none" w:color="auto" w:sz="0" w:space="0"/>
          <w:shd w:val="clear" w:fill="FFFFFF"/>
          <w:lang w:val="en-US" w:eastAsia="zh-CN" w:bidi="ar"/>
        </w:rPr>
        <w:instrText xml:space="preserve"> HYPERLINK "javascript:;" </w:instrText>
      </w:r>
      <w:r>
        <w:rPr>
          <w:rFonts w:hint="eastAsia" w:ascii="仿宋" w:hAnsi="仿宋" w:eastAsia="仿宋" w:cs="仿宋"/>
          <w:i w:val="0"/>
          <w:iCs w:val="0"/>
          <w:caps w:val="0"/>
          <w:color w:val="000000"/>
          <w:spacing w:val="0"/>
          <w:kern w:val="0"/>
          <w:sz w:val="28"/>
          <w:szCs w:val="28"/>
          <w:u w:val="none"/>
          <w:bdr w:val="none" w:color="auto" w:sz="0" w:space="0"/>
          <w:shd w:val="clear" w:fill="FFFFFF"/>
          <w:lang w:val="en-US" w:eastAsia="zh-CN" w:bidi="ar"/>
        </w:rPr>
        <w:fldChar w:fldCharType="separate"/>
      </w:r>
      <w:r>
        <w:rPr>
          <w:rFonts w:hint="eastAsia" w:ascii="仿宋" w:hAnsi="仿宋" w:eastAsia="仿宋" w:cs="仿宋"/>
          <w:i w:val="0"/>
          <w:iCs w:val="0"/>
          <w:caps w:val="0"/>
          <w:color w:val="000000"/>
          <w:spacing w:val="0"/>
          <w:kern w:val="0"/>
          <w:sz w:val="28"/>
          <w:szCs w:val="28"/>
          <w:u w:val="none"/>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28"/>
          <w:szCs w:val="28"/>
          <w:u w:val="none"/>
          <w:bdr w:val="none" w:color="auto" w:sz="0" w:space="0"/>
          <w:shd w:val="clear" w:fill="FFFFFF"/>
          <w:lang w:val="en-US" w:eastAsia="zh-CN" w:bidi="ar"/>
        </w:rPr>
        <w:fldChar w:fldCharType="begin"/>
      </w:r>
      <w:r>
        <w:rPr>
          <w:rFonts w:hint="eastAsia" w:ascii="仿宋" w:hAnsi="仿宋" w:eastAsia="仿宋" w:cs="仿宋"/>
          <w:i w:val="0"/>
          <w:iCs w:val="0"/>
          <w:caps w:val="0"/>
          <w:color w:val="000000"/>
          <w:spacing w:val="0"/>
          <w:kern w:val="0"/>
          <w:sz w:val="28"/>
          <w:szCs w:val="28"/>
          <w:u w:val="none"/>
          <w:bdr w:val="none" w:color="auto" w:sz="0" w:space="0"/>
          <w:shd w:val="clear" w:fill="FFFFFF"/>
          <w:lang w:val="en-US" w:eastAsia="zh-CN" w:bidi="ar"/>
        </w:rPr>
        <w:instrText xml:space="preserve"> HYPERLINK "http://service.weibo.com/share/share.php?url=https://zgnjx.org.cn/cms/arcview/5213.html&amp;title=%E5%85%B3%E4%BA%8E%E5%BC%80%E5%B1%952024%E5%B9%B4%E5%85%A8%E5%9B%BD%E7%A7%91%E6%99%AE%E6%97%A5%E6%9A%A8%E4%B8%AD%E5%9B%BD%E5%86%9C%E6%B0%91%E4%B8%B0%E6%94%B6%E8%8A%82%E5%86%9C%E6%8A%80%E5%8D%8F%E8%81%94%E5%90%88%E8%A1%8C%E5%8A%A8%E7%9A%84%E9%80%9A%E7%9F%A5-%E4%B8%AD%E5%9B%BD%E5%86%9C%E6%9D%91%E4%B8%93%E4%B8%9A%E6%8A%80%E6%9C%AF%E5%8D%8F%E4%BC%9A&amp;pic=https://zgnjx.org.cn/static/img/home.png&amp;appkey=" \t "https://zgnjx.org.cn/cms/arcview/_blank" </w:instrText>
      </w:r>
      <w:r>
        <w:rPr>
          <w:rFonts w:hint="eastAsia" w:ascii="仿宋" w:hAnsi="仿宋" w:eastAsia="仿宋" w:cs="仿宋"/>
          <w:i w:val="0"/>
          <w:iCs w:val="0"/>
          <w:caps w:val="0"/>
          <w:color w:val="000000"/>
          <w:spacing w:val="0"/>
          <w:kern w:val="0"/>
          <w:sz w:val="28"/>
          <w:szCs w:val="28"/>
          <w:u w:val="none"/>
          <w:bdr w:val="none" w:color="auto" w:sz="0" w:space="0"/>
          <w:shd w:val="clear" w:fill="FFFFFF"/>
          <w:lang w:val="en-US" w:eastAsia="zh-CN" w:bidi="ar"/>
        </w:rPr>
        <w:fldChar w:fldCharType="separate"/>
      </w:r>
      <w:r>
        <w:rPr>
          <w:rFonts w:hint="eastAsia" w:ascii="仿宋" w:hAnsi="仿宋" w:eastAsia="仿宋" w:cs="仿宋"/>
          <w:i w:val="0"/>
          <w:iCs w:val="0"/>
          <w:caps w:val="0"/>
          <w:color w:val="000000"/>
          <w:spacing w:val="0"/>
          <w:kern w:val="0"/>
          <w:sz w:val="28"/>
          <w:szCs w:val="28"/>
          <w:u w:val="none"/>
          <w:bdr w:val="none" w:color="auto" w:sz="0" w:space="0"/>
          <w:shd w:val="clear" w:fill="FFFFFF"/>
          <w:lang w:val="en-US" w:eastAsia="zh-CN" w:bidi="ar"/>
        </w:rPr>
        <w:fldChar w:fldCharType="end"/>
      </w:r>
    </w:p>
    <w:p w14:paraId="3B6302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20" w:lineRule="exact"/>
        <w:ind w:left="0" w:right="0" w:firstLine="0"/>
        <w:jc w:val="left"/>
        <w:textAlignment w:val="auto"/>
        <w:rPr>
          <w:rFonts w:hint="eastAsia" w:ascii="仿宋" w:hAnsi="仿宋" w:eastAsia="仿宋" w:cs="仿宋"/>
          <w:i w:val="0"/>
          <w:iCs w:val="0"/>
          <w:caps w:val="0"/>
          <w:color w:val="5A5A5A"/>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各省、自治区、直辖市农技协（联合会），中国农技协各分支机构、科技小院各省联盟、科普教育基地，各有关单位：</w:t>
      </w:r>
    </w:p>
    <w:p w14:paraId="555FE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2024年是中华人民共和国成立75周年，是实现“十四五”规划目标任务的关键一年。为坚持以习近平新时代中国特色社会主义思想为指导，全面贯彻落实党的二十大和二十届二中、三中全会精神，深入贯彻全国科技大会、国家科学技术奖励大会、两院院士大会精神，锚定实现高水平科技自立自强的战略目标，弘扬科学精神和科学家精神，展现科技魅力，普及科学知识，传播科学思想，激发创新自信，筑牢科技创新的群众基础，特别是农村地区的科技基础，为中国式现代化和乡村振兴作出新贡献。中国农技协响应号召，将组织动员广大科技工作者、科技志愿者、农技协负责人、科技小院师生、乡土人才等开展2024年全国科普日暨中国农民丰收节农技协联合行动，具体事宜通知如下：</w:t>
      </w:r>
    </w:p>
    <w:p w14:paraId="134F21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Style w:val="6"/>
          <w:rFonts w:hint="eastAsia" w:ascii="仿宋" w:hAnsi="仿宋" w:eastAsia="仿宋" w:cs="仿宋"/>
          <w:i w:val="0"/>
          <w:iCs w:val="0"/>
          <w:caps w:val="0"/>
          <w:color w:val="000000"/>
          <w:spacing w:val="0"/>
          <w:sz w:val="28"/>
          <w:szCs w:val="28"/>
          <w:bdr w:val="none" w:color="auto" w:sz="0" w:space="0"/>
          <w:shd w:val="clear" w:fill="FFFFFF"/>
        </w:rPr>
        <w:t>一、主题和时间</w:t>
      </w:r>
    </w:p>
    <w:p w14:paraId="47B5A2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主题：提升全民科学素质，协力建设科技强国——农业科技助力乡村振兴</w:t>
      </w:r>
    </w:p>
    <w:p w14:paraId="0FAAF5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时间：重点活动集中在2024年9月15日—25日开展。自通知发布之日起，各地各部门各单位组织开展相关工作。</w:t>
      </w:r>
    </w:p>
    <w:p w14:paraId="57255D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Style w:val="6"/>
          <w:rFonts w:hint="eastAsia" w:ascii="仿宋" w:hAnsi="仿宋" w:eastAsia="仿宋" w:cs="仿宋"/>
          <w:i w:val="0"/>
          <w:iCs w:val="0"/>
          <w:caps w:val="0"/>
          <w:color w:val="000000"/>
          <w:spacing w:val="0"/>
          <w:sz w:val="28"/>
          <w:szCs w:val="28"/>
          <w:bdr w:val="none" w:color="auto" w:sz="0" w:space="0"/>
          <w:shd w:val="clear" w:fill="FFFFFF"/>
        </w:rPr>
        <w:t>二、活动内容</w:t>
      </w:r>
    </w:p>
    <w:p w14:paraId="79F3C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宣传阐释习近平总书记系列重要论述。通过线上线下相结合的方式，组织各级农技协、各分支机构、科技小院及科普教育基地等深入学习习近平总书记关于高水平科技自立自强和科技创新、科普和科学素质建设的重要论述，广泛宣传我国科技、科普工作成就，展示科技自立自强的生动实践，营造爱党爱国、崇尚创新的良好氛围。</w:t>
      </w:r>
    </w:p>
    <w:p w14:paraId="2D4F40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聚焦科技前沿，激发创新动能。围绕重大科技专项、科技奖项、国内科技前沿等和新质生产力发展等领域，持续开展前沿科普活动，拓宽科技工作者的视野，激发创新灵感。推动科研基础设施、创新基地有组织、常态化开放，为公众特别是青少年提供参观学习、互动体验的机会，近距离感受科技的魅力，培养科学兴趣和探究精神。鼓励科技工作者和公众积极参与创新实践，形成崇尚创新、鼓励探索的良好风尚。</w:t>
      </w:r>
    </w:p>
    <w:p w14:paraId="51706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践行科普为民，共创美好生活。针对食品安全、农业生产等公众关注的热点问题，组织科技志愿者深入乡村一线，开展科普讲座、咨询服务等活动，解答群众疑惑，普及科学知识。结合乡村文化特色，组织科普文艺演出、科普电影放映等活动，丰富群众精神文化生活，提升全民科学文化素质。</w:t>
      </w:r>
    </w:p>
    <w:p w14:paraId="700998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开展科学教育，激发好奇心、想象力、探求欲。充分发挥农技协组织动员优势，联合学校、社区等开展科学教育活动，为青少年提供丰富多彩的课外科学实践机会，推动科普资源助推“双减”。设计并实施场景式、体验式、沉浸式科学实践活动，增强青少年科学兴趣和科学素养，助力培育具备科学家潜质、愿意献身科学研究事业的青少年群体。</w:t>
      </w:r>
    </w:p>
    <w:p w14:paraId="1967FD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Style w:val="6"/>
          <w:rFonts w:hint="eastAsia" w:ascii="仿宋" w:hAnsi="仿宋" w:eastAsia="仿宋" w:cs="仿宋"/>
          <w:i w:val="0"/>
          <w:iCs w:val="0"/>
          <w:caps w:val="0"/>
          <w:color w:val="000000"/>
          <w:spacing w:val="0"/>
          <w:sz w:val="28"/>
          <w:szCs w:val="28"/>
          <w:bdr w:val="none" w:color="auto" w:sz="0" w:space="0"/>
          <w:shd w:val="clear" w:fill="FFFFFF"/>
        </w:rPr>
        <w:t>三、工作要求</w:t>
      </w:r>
    </w:p>
    <w:p w14:paraId="58AB2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积极组织动员。各单位要充分认识到此次联合行动的重要性，将其作为落实《全民科学素质行动规划纲要（2021—2035年）》的重要举措，结合各自优势和特色，充分动员、认真组织，确保联合行动取得实效。广泛引导科技工作者积极参与，发挥他们在科普工作中的主力军作用，同时调动社会各方面积极性和创造性，因地、因人、因事、因时制宜地开展工作，扩大活动的受益面和影响力。</w:t>
      </w:r>
    </w:p>
    <w:p w14:paraId="3BE47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突出活动实效。各单位和部门要紧密围绕科普日活动主题，聚焦目标人群特点和需求，创新服务场景，丰富内容形式，打造“小而精”“小而美”“小而实”的服务产品，提供精准多元、喜闻乐见的科普服务。要严格落实中央八项规定及其实施细则精神，统筹考虑活动实效和为基层减负的需求，高效、勤俭、务实地举办全国科普日活动。</w:t>
      </w:r>
    </w:p>
    <w:p w14:paraId="5E57A7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强化联动宣传。要突出活动品牌，做好线上线下宣传，规范使用全国科普日和科普中国标识，营造活动浓厚氛围。加强与主流媒体的合作，共同推出反映科普事业发展、科普创新实践的重磅报道，对全国各地重点亮点活动进行专题宣传。通过系统联动，强化品牌效应，实施全周期、多角度宣传策略，全方位展现科普日盛况，增强宣传实效，让科普知识深入人心。</w:t>
      </w:r>
    </w:p>
    <w:p w14:paraId="75143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预热亮点活动。拟面向各级农技协、各分支机构、科技小院及科普教育基地等有关单位，通过全网征集和集中遴选机制精选一批致力于科技志愿帮扶、有效促进农业产业提质增效的科技志愿服务亮点活动。中国农技协将携手主流媒体，并充分利用多元化传播渠道，提前整合各地亮点活动宣传素材，在各类媒体平台上分阶段发布，持续提升活动热度。同时，8月21日起，各活动举办单位可通过全国科普日平台（www.kepuri.cn）发布重点活动信息。平台将提供优质科普短视频、展览、图文等活动资源和精品宣传资源下载，持续汇聚展示各地各部门各单位重点、亮点活动。</w:t>
      </w:r>
    </w:p>
    <w:p w14:paraId="5BE1A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五）梳理总结典型。中国农技协将认真总结活动开展情况和成效，总结凝练工作经验模式，扩大活动覆盖面。请各活动举办单位扫描下方二维码填报活动信息，上传活动图片或视频，填报截止时间为9月27日，请各省农技协等相关组织单位于9月30日前，完成活动信息汇总表（附件）并发送至中国农技协邮箱。本次联合行动将按照组织动员数量规模、品牌宣传等指标，对活动组织有序、服务基层有效的单位和影响大、关注多、反映好的活动予以表扬。</w:t>
      </w:r>
    </w:p>
    <w:p w14:paraId="04259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sz w:val="28"/>
          <w:szCs w:val="28"/>
        </w:rPr>
      </w:pPr>
    </w:p>
    <w:p w14:paraId="1DD7807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exact"/>
        <w:ind w:left="0" w:right="0"/>
        <w:jc w:val="left"/>
        <w:textAlignment w:val="auto"/>
        <w:rPr>
          <w:rFonts w:hint="eastAsia" w:ascii="仿宋" w:hAnsi="仿宋" w:eastAsia="仿宋" w:cs="仿宋"/>
          <w:sz w:val="28"/>
          <w:szCs w:val="28"/>
        </w:rPr>
      </w:pPr>
      <w:r>
        <w:rPr>
          <w:rFonts w:hint="eastAsia" w:ascii="仿宋" w:hAnsi="仿宋" w:eastAsia="仿宋" w:cs="仿宋"/>
          <w:i w:val="0"/>
          <w:iCs w:val="0"/>
          <w:caps w:val="0"/>
          <w:color w:val="5A5A5A"/>
          <w:spacing w:val="0"/>
          <w:kern w:val="0"/>
          <w:sz w:val="28"/>
          <w:szCs w:val="28"/>
          <w:bdr w:val="none" w:color="auto" w:sz="0" w:space="0"/>
          <w:shd w:val="clear" w:fill="FFFFFF"/>
          <w:lang w:val="en-US" w:eastAsia="zh-CN" w:bidi="ar"/>
        </w:rPr>
        <w:drawing>
          <wp:anchor distT="0" distB="0" distL="114300" distR="114300" simplePos="0" relativeHeight="251659264" behindDoc="0" locked="0" layoutInCell="1" allowOverlap="1">
            <wp:simplePos x="0" y="0"/>
            <wp:positionH relativeFrom="column">
              <wp:posOffset>1468120</wp:posOffset>
            </wp:positionH>
            <wp:positionV relativeFrom="paragraph">
              <wp:posOffset>89535</wp:posOffset>
            </wp:positionV>
            <wp:extent cx="2205990" cy="2170430"/>
            <wp:effectExtent l="0" t="0" r="3810" b="127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05990" cy="2170430"/>
                    </a:xfrm>
                    <a:prstGeom prst="rect">
                      <a:avLst/>
                    </a:prstGeom>
                    <a:noFill/>
                    <a:ln w="9525">
                      <a:noFill/>
                    </a:ln>
                  </pic:spPr>
                </pic:pic>
              </a:graphicData>
            </a:graphic>
          </wp:anchor>
        </w:drawing>
      </w:r>
      <w:r>
        <w:rPr>
          <w:rFonts w:hint="eastAsia" w:ascii="仿宋" w:hAnsi="仿宋" w:eastAsia="仿宋" w:cs="仿宋"/>
          <w:i w:val="0"/>
          <w:iCs w:val="0"/>
          <w:caps w:val="0"/>
          <w:color w:val="5A5A5A"/>
          <w:spacing w:val="0"/>
          <w:kern w:val="0"/>
          <w:sz w:val="28"/>
          <w:szCs w:val="28"/>
          <w:bdr w:val="none" w:color="auto" w:sz="0" w:space="0"/>
          <w:shd w:val="clear" w:fill="FFFFFF"/>
          <w:lang w:val="en-US" w:eastAsia="zh-CN" w:bidi="ar"/>
        </w:rPr>
        <w:br w:type="textWrapping"/>
      </w:r>
    </w:p>
    <w:p w14:paraId="0C8EE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sz w:val="28"/>
          <w:szCs w:val="28"/>
        </w:rPr>
      </w:pPr>
    </w:p>
    <w:p w14:paraId="6F5EC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p>
    <w:p w14:paraId="1B940A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Style w:val="6"/>
          <w:rFonts w:hint="eastAsia" w:ascii="仿宋" w:hAnsi="仿宋" w:eastAsia="仿宋" w:cs="仿宋"/>
          <w:i w:val="0"/>
          <w:iCs w:val="0"/>
          <w:caps w:val="0"/>
          <w:color w:val="000000"/>
          <w:spacing w:val="0"/>
          <w:sz w:val="28"/>
          <w:szCs w:val="28"/>
          <w:bdr w:val="none" w:color="auto" w:sz="0" w:space="0"/>
          <w:shd w:val="clear" w:fill="FFFFFF"/>
        </w:rPr>
      </w:pPr>
    </w:p>
    <w:p w14:paraId="070BE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Style w:val="6"/>
          <w:rFonts w:hint="eastAsia" w:ascii="仿宋" w:hAnsi="仿宋" w:eastAsia="仿宋" w:cs="仿宋"/>
          <w:i w:val="0"/>
          <w:iCs w:val="0"/>
          <w:caps w:val="0"/>
          <w:color w:val="000000"/>
          <w:spacing w:val="0"/>
          <w:sz w:val="28"/>
          <w:szCs w:val="28"/>
          <w:bdr w:val="none" w:color="auto" w:sz="0" w:space="0"/>
          <w:shd w:val="clear" w:fill="FFFFFF"/>
        </w:rPr>
      </w:pPr>
    </w:p>
    <w:p w14:paraId="74F3C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Style w:val="6"/>
          <w:rFonts w:hint="eastAsia" w:ascii="仿宋" w:hAnsi="仿宋" w:eastAsia="仿宋" w:cs="仿宋"/>
          <w:i w:val="0"/>
          <w:iCs w:val="0"/>
          <w:caps w:val="0"/>
          <w:color w:val="000000"/>
          <w:spacing w:val="0"/>
          <w:sz w:val="28"/>
          <w:szCs w:val="28"/>
          <w:bdr w:val="none" w:color="auto" w:sz="0" w:space="0"/>
          <w:shd w:val="clear" w:fill="FFFFFF"/>
        </w:rPr>
      </w:pPr>
    </w:p>
    <w:p w14:paraId="35493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Style w:val="6"/>
          <w:rFonts w:hint="eastAsia" w:ascii="仿宋" w:hAnsi="仿宋" w:eastAsia="仿宋" w:cs="仿宋"/>
          <w:i w:val="0"/>
          <w:iCs w:val="0"/>
          <w:caps w:val="0"/>
          <w:color w:val="000000"/>
          <w:spacing w:val="0"/>
          <w:sz w:val="28"/>
          <w:szCs w:val="28"/>
          <w:bdr w:val="none" w:color="auto" w:sz="0" w:space="0"/>
          <w:shd w:val="clear" w:fill="FFFFFF"/>
        </w:rPr>
      </w:pPr>
    </w:p>
    <w:p w14:paraId="609E12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Style w:val="6"/>
          <w:rFonts w:hint="eastAsia" w:ascii="仿宋" w:hAnsi="仿宋" w:eastAsia="仿宋" w:cs="仿宋"/>
          <w:i w:val="0"/>
          <w:iCs w:val="0"/>
          <w:caps w:val="0"/>
          <w:color w:val="000000"/>
          <w:spacing w:val="0"/>
          <w:sz w:val="28"/>
          <w:szCs w:val="28"/>
          <w:bdr w:val="none" w:color="auto" w:sz="0" w:space="0"/>
          <w:shd w:val="clear" w:fill="FFFFFF"/>
        </w:rPr>
      </w:pPr>
    </w:p>
    <w:p w14:paraId="0025EE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Style w:val="6"/>
          <w:rFonts w:hint="eastAsia" w:ascii="仿宋" w:hAnsi="仿宋" w:eastAsia="仿宋" w:cs="仿宋"/>
          <w:i w:val="0"/>
          <w:iCs w:val="0"/>
          <w:caps w:val="0"/>
          <w:color w:val="000000"/>
          <w:spacing w:val="0"/>
          <w:sz w:val="28"/>
          <w:szCs w:val="28"/>
          <w:bdr w:val="none" w:color="auto" w:sz="0" w:space="0"/>
          <w:shd w:val="clear" w:fill="FFFFFF"/>
        </w:rPr>
      </w:pPr>
    </w:p>
    <w:p w14:paraId="19CCD6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Style w:val="6"/>
          <w:rFonts w:hint="eastAsia" w:ascii="仿宋" w:hAnsi="仿宋" w:eastAsia="仿宋" w:cs="仿宋"/>
          <w:i w:val="0"/>
          <w:iCs w:val="0"/>
          <w:caps w:val="0"/>
          <w:color w:val="000000"/>
          <w:spacing w:val="0"/>
          <w:sz w:val="28"/>
          <w:szCs w:val="28"/>
          <w:bdr w:val="none" w:color="auto" w:sz="0" w:space="0"/>
          <w:shd w:val="clear" w:fill="FFFFFF"/>
        </w:rPr>
        <w:t>四、联系方式</w:t>
      </w:r>
    </w:p>
    <w:p w14:paraId="4FBF76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联系人：武文慧</w:t>
      </w:r>
    </w:p>
    <w:p w14:paraId="4FBE8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通信地址：北京市朝阳区白家庄东里13号楼6层</w:t>
      </w:r>
    </w:p>
    <w:p w14:paraId="5EB3D4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联系电话：010-65001928</w:t>
      </w:r>
    </w:p>
    <w:p w14:paraId="41BAE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电子邮箱：zgnjx@cast.org.cn</w:t>
      </w:r>
    </w:p>
    <w:p w14:paraId="31704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附件：</w:t>
      </w:r>
      <w:r>
        <w:rPr>
          <w:rFonts w:hint="eastAsia" w:ascii="仿宋" w:hAnsi="仿宋" w:eastAsia="仿宋" w:cs="仿宋"/>
          <w:i w:val="0"/>
          <w:iCs w:val="0"/>
          <w:caps w:val="0"/>
          <w:color w:val="000000"/>
          <w:spacing w:val="0"/>
          <w:sz w:val="28"/>
          <w:szCs w:val="28"/>
          <w:u w:val="none"/>
          <w:bdr w:val="none" w:color="auto" w:sz="0" w:space="0"/>
          <w:shd w:val="clear" w:fill="FFFFFF"/>
        </w:rPr>
        <w:fldChar w:fldCharType="begin"/>
      </w:r>
      <w:r>
        <w:rPr>
          <w:rFonts w:hint="eastAsia" w:ascii="仿宋" w:hAnsi="仿宋" w:eastAsia="仿宋" w:cs="仿宋"/>
          <w:i w:val="0"/>
          <w:iCs w:val="0"/>
          <w:caps w:val="0"/>
          <w:color w:val="000000"/>
          <w:spacing w:val="0"/>
          <w:sz w:val="28"/>
          <w:szCs w:val="28"/>
          <w:u w:val="none"/>
          <w:bdr w:val="none" w:color="auto" w:sz="0" w:space="0"/>
          <w:shd w:val="clear" w:fill="FFFFFF"/>
        </w:rPr>
        <w:instrText xml:space="preserve"> HYPERLINK "https://zgnjx.org.cn/uploads/admin/202408/66bc6b113f86d.docx" \t "https://zgnjx.org.cn/cms/arcview/_self" </w:instrText>
      </w:r>
      <w:r>
        <w:rPr>
          <w:rFonts w:hint="eastAsia" w:ascii="仿宋" w:hAnsi="仿宋" w:eastAsia="仿宋" w:cs="仿宋"/>
          <w:i w:val="0"/>
          <w:iCs w:val="0"/>
          <w:caps w:val="0"/>
          <w:color w:val="000000"/>
          <w:spacing w:val="0"/>
          <w:sz w:val="28"/>
          <w:szCs w:val="28"/>
          <w:u w:val="none"/>
          <w:bdr w:val="none" w:color="auto" w:sz="0" w:space="0"/>
          <w:shd w:val="clear" w:fill="FFFFFF"/>
        </w:rPr>
        <w:fldChar w:fldCharType="separate"/>
      </w:r>
      <w:r>
        <w:rPr>
          <w:rStyle w:val="7"/>
          <w:rFonts w:hint="eastAsia" w:ascii="仿宋" w:hAnsi="仿宋" w:eastAsia="仿宋" w:cs="仿宋"/>
          <w:i w:val="0"/>
          <w:iCs w:val="0"/>
          <w:caps w:val="0"/>
          <w:color w:val="000000"/>
          <w:spacing w:val="0"/>
          <w:sz w:val="28"/>
          <w:szCs w:val="28"/>
          <w:u w:val="none"/>
          <w:bdr w:val="none" w:color="auto" w:sz="0" w:space="0"/>
          <w:shd w:val="clear" w:fill="FFFFFF"/>
        </w:rPr>
        <w:t>活动信息汇总表</w:t>
      </w:r>
      <w:r>
        <w:rPr>
          <w:rFonts w:hint="eastAsia" w:ascii="仿宋" w:hAnsi="仿宋" w:eastAsia="仿宋" w:cs="仿宋"/>
          <w:i w:val="0"/>
          <w:iCs w:val="0"/>
          <w:caps w:val="0"/>
          <w:color w:val="000000"/>
          <w:spacing w:val="0"/>
          <w:sz w:val="28"/>
          <w:szCs w:val="28"/>
          <w:u w:val="none"/>
          <w:bdr w:val="none" w:color="auto" w:sz="0" w:space="0"/>
          <w:shd w:val="clear" w:fill="FFFFFF"/>
        </w:rPr>
        <w:fldChar w:fldCharType="end"/>
      </w:r>
    </w:p>
    <w:p w14:paraId="3F998D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仿宋" w:hAnsi="仿宋" w:eastAsia="仿宋" w:cs="仿宋"/>
          <w:spacing w:val="9"/>
          <w:sz w:val="28"/>
          <w:szCs w:val="28"/>
        </w:rPr>
      </w:pPr>
    </w:p>
    <w:p w14:paraId="18A4EC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中国农村专业技术协会</w:t>
      </w:r>
    </w:p>
    <w:p w14:paraId="341C3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仿宋" w:hAnsi="仿宋" w:eastAsia="仿宋" w:cs="仿宋"/>
          <w:spacing w:val="9"/>
          <w:sz w:val="28"/>
          <w:szCs w:val="28"/>
        </w:rPr>
      </w:pPr>
      <w:r>
        <w:rPr>
          <w:rFonts w:hint="eastAsia" w:ascii="仿宋" w:hAnsi="仿宋" w:eastAsia="仿宋" w:cs="仿宋"/>
          <w:i w:val="0"/>
          <w:iCs w:val="0"/>
          <w:caps w:val="0"/>
          <w:color w:val="000000"/>
          <w:spacing w:val="0"/>
          <w:sz w:val="28"/>
          <w:szCs w:val="28"/>
          <w:bdr w:val="none" w:color="auto" w:sz="0" w:space="0"/>
          <w:shd w:val="clear" w:fill="FFFFFF"/>
        </w:rPr>
        <w:t>2024年8月14日</w:t>
      </w:r>
    </w:p>
    <w:p w14:paraId="07C1D84E">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zFkMTRiOGFhYWNmNjU2YmY0ZDc4NDRkNDA5ZGIifQ=="/>
  </w:docVars>
  <w:rsids>
    <w:rsidRoot w:val="06547B2F"/>
    <w:rsid w:val="0654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2024-08-15T01:27:00Z</dcterms:created>
  <dc:creator>WPS_1712916329</dc:creator>
  <cp:lastModifiedBy>WPS_1712916329</cp:lastModifiedBy>
  <dcterms:modified xsi:type="dcterms:W3CDTF">2024-08-15T01:40:32Z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77F9F81E40B842A68AEC6F75E049EBAA_11</vt:lpwstr>
  </property>
</Properties>
</file>